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0871D" w14:textId="55B72682" w:rsidR="007E187A" w:rsidRPr="007E187A" w:rsidRDefault="007E187A" w:rsidP="00850AFC">
      <w:pPr>
        <w:pStyle w:val="Heading1"/>
        <w:jc w:val="left"/>
        <w:rPr>
          <w:rFonts w:cs="Arial"/>
          <w:b w:val="0"/>
          <w:bCs/>
          <w:sz w:val="22"/>
          <w:szCs w:val="24"/>
        </w:rPr>
      </w:pPr>
      <w:r w:rsidRPr="007E187A">
        <w:rPr>
          <w:rFonts w:cs="Arial"/>
          <w:b w:val="0"/>
          <w:bCs/>
          <w:sz w:val="22"/>
          <w:szCs w:val="24"/>
        </w:rPr>
        <w:t>Press Release</w:t>
      </w:r>
      <w:r w:rsidRPr="007E187A">
        <w:rPr>
          <w:rFonts w:cs="Arial"/>
          <w:b w:val="0"/>
          <w:bCs/>
          <w:sz w:val="22"/>
          <w:szCs w:val="24"/>
        </w:rPr>
        <w:br/>
      </w:r>
      <w:r w:rsidRPr="007E187A">
        <w:rPr>
          <w:rFonts w:cs="Arial"/>
          <w:b w:val="0"/>
          <w:bCs/>
          <w:color w:val="auto"/>
          <w:sz w:val="22"/>
          <w:szCs w:val="24"/>
        </w:rPr>
        <w:t>For Immediate Release</w:t>
      </w:r>
      <w:r w:rsidRPr="007E187A">
        <w:rPr>
          <w:rFonts w:cs="Arial"/>
          <w:b w:val="0"/>
          <w:bCs/>
          <w:color w:val="auto"/>
          <w:sz w:val="22"/>
          <w:szCs w:val="24"/>
        </w:rPr>
        <w:br/>
      </w:r>
      <w:r w:rsidR="00984B5D">
        <w:rPr>
          <w:rFonts w:cs="Arial"/>
          <w:b w:val="0"/>
          <w:bCs/>
          <w:color w:val="auto"/>
          <w:sz w:val="22"/>
          <w:szCs w:val="24"/>
        </w:rPr>
        <w:t>18</w:t>
      </w:r>
      <w:r w:rsidRPr="007E187A">
        <w:rPr>
          <w:rFonts w:cs="Arial"/>
          <w:b w:val="0"/>
          <w:bCs/>
          <w:color w:val="auto"/>
          <w:sz w:val="22"/>
          <w:szCs w:val="24"/>
        </w:rPr>
        <w:t xml:space="preserve"> </w:t>
      </w:r>
      <w:r w:rsidR="00FE4D7A">
        <w:rPr>
          <w:rFonts w:cs="Arial"/>
          <w:b w:val="0"/>
          <w:bCs/>
          <w:color w:val="auto"/>
          <w:sz w:val="22"/>
          <w:szCs w:val="24"/>
        </w:rPr>
        <w:t xml:space="preserve">June </w:t>
      </w:r>
      <w:r w:rsidRPr="007E187A">
        <w:rPr>
          <w:rFonts w:cs="Arial"/>
          <w:b w:val="0"/>
          <w:bCs/>
          <w:color w:val="auto"/>
          <w:sz w:val="22"/>
          <w:szCs w:val="24"/>
        </w:rPr>
        <w:t>2024</w:t>
      </w:r>
    </w:p>
    <w:p w14:paraId="15691082" w14:textId="77777777" w:rsidR="007E187A" w:rsidRPr="007E187A" w:rsidRDefault="007E187A" w:rsidP="00850AFC">
      <w:pPr>
        <w:rPr>
          <w:rFonts w:ascii="Arial" w:hAnsi="Arial" w:cs="Arial"/>
          <w:sz w:val="20"/>
          <w:szCs w:val="20"/>
        </w:rPr>
      </w:pPr>
    </w:p>
    <w:p w14:paraId="494EF274" w14:textId="3F45C7AB" w:rsidR="003D559D" w:rsidRPr="007E187A" w:rsidRDefault="009D7A2E" w:rsidP="00850AFC">
      <w:pPr>
        <w:pStyle w:val="Heading1"/>
        <w:jc w:val="left"/>
        <w:rPr>
          <w:rFonts w:cs="Arial"/>
        </w:rPr>
      </w:pPr>
      <w:r w:rsidRPr="007E187A">
        <w:rPr>
          <w:rFonts w:cs="Arial"/>
        </w:rPr>
        <w:t xml:space="preserve">CORPORATE FRAUD </w:t>
      </w:r>
      <w:r w:rsidR="005F0B06">
        <w:rPr>
          <w:rFonts w:cs="Arial"/>
        </w:rPr>
        <w:t xml:space="preserve">MAY </w:t>
      </w:r>
      <w:r w:rsidRPr="007E187A">
        <w:rPr>
          <w:rFonts w:cs="Arial"/>
        </w:rPr>
        <w:t>INTENSIF</w:t>
      </w:r>
      <w:r w:rsidR="005F0B06">
        <w:rPr>
          <w:rFonts w:cs="Arial"/>
        </w:rPr>
        <w:t>Y</w:t>
      </w:r>
      <w:r w:rsidRPr="007E187A">
        <w:rPr>
          <w:rFonts w:cs="Arial"/>
        </w:rPr>
        <w:t xml:space="preserve"> AS COST-OF-LIVING PRESSURES INCREASE</w:t>
      </w:r>
    </w:p>
    <w:p w14:paraId="2402D2B5" w14:textId="07A084F3" w:rsidR="009D7A2E" w:rsidRPr="00876C74" w:rsidRDefault="009D7A2E" w:rsidP="00850AFC">
      <w:pPr>
        <w:pStyle w:val="Body1"/>
        <w:jc w:val="left"/>
        <w:rPr>
          <w:b/>
          <w:bCs/>
          <w:sz w:val="22"/>
          <w:szCs w:val="22"/>
          <w:lang w:val="en-AU"/>
        </w:rPr>
      </w:pPr>
      <w:r w:rsidRPr="00876C74">
        <w:rPr>
          <w:b/>
          <w:bCs/>
          <w:sz w:val="22"/>
          <w:szCs w:val="22"/>
          <w:lang w:val="en-AU"/>
        </w:rPr>
        <w:t xml:space="preserve">Moore Australia Forensic Accounting experts warn Australian business owners to be </w:t>
      </w:r>
      <w:r w:rsidR="00BF30D2" w:rsidRPr="00876C74">
        <w:rPr>
          <w:b/>
          <w:bCs/>
          <w:sz w:val="22"/>
          <w:szCs w:val="22"/>
          <w:lang w:val="en-AU"/>
        </w:rPr>
        <w:t>vigilant.</w:t>
      </w:r>
    </w:p>
    <w:p w14:paraId="10F6E171" w14:textId="400D7A8A" w:rsidR="009D7A2E" w:rsidRPr="007E187A" w:rsidRDefault="00DE3121" w:rsidP="00850AFC">
      <w:pPr>
        <w:pStyle w:val="Body1"/>
        <w:numPr>
          <w:ilvl w:val="0"/>
          <w:numId w:val="15"/>
        </w:numPr>
        <w:jc w:val="left"/>
        <w:rPr>
          <w:sz w:val="22"/>
          <w:szCs w:val="22"/>
          <w:lang w:val="en-AU"/>
        </w:rPr>
      </w:pPr>
      <w:r>
        <w:rPr>
          <w:sz w:val="22"/>
          <w:szCs w:val="22"/>
          <w:lang w:val="en-AU"/>
        </w:rPr>
        <w:t xml:space="preserve">USD </w:t>
      </w:r>
      <w:r w:rsidR="009D7A2E" w:rsidRPr="007E187A">
        <w:rPr>
          <w:sz w:val="22"/>
          <w:szCs w:val="22"/>
          <w:lang w:val="en-AU"/>
        </w:rPr>
        <w:t>$5</w:t>
      </w:r>
      <w:r w:rsidR="00B9309D" w:rsidRPr="007E187A">
        <w:rPr>
          <w:sz w:val="22"/>
          <w:szCs w:val="22"/>
          <w:lang w:val="en-AU"/>
        </w:rPr>
        <w:t xml:space="preserve"> </w:t>
      </w:r>
      <w:r w:rsidR="009D7A2E" w:rsidRPr="007E187A">
        <w:rPr>
          <w:sz w:val="22"/>
          <w:szCs w:val="22"/>
          <w:lang w:val="en-AU"/>
        </w:rPr>
        <w:t>trillion</w:t>
      </w:r>
      <w:r w:rsidR="009335DD">
        <w:rPr>
          <w:sz w:val="22"/>
          <w:szCs w:val="22"/>
          <w:lang w:val="en-AU"/>
        </w:rPr>
        <w:t xml:space="preserve"> (</w:t>
      </w:r>
      <w:r>
        <w:rPr>
          <w:sz w:val="22"/>
          <w:szCs w:val="22"/>
          <w:lang w:val="en-AU"/>
        </w:rPr>
        <w:t xml:space="preserve">AUD $7.6 </w:t>
      </w:r>
      <w:proofErr w:type="gramStart"/>
      <w:r>
        <w:rPr>
          <w:sz w:val="22"/>
          <w:szCs w:val="22"/>
          <w:lang w:val="en-AU"/>
        </w:rPr>
        <w:t>trillion)</w:t>
      </w:r>
      <w:r w:rsidR="00A812FC">
        <w:rPr>
          <w:sz w:val="22"/>
          <w:szCs w:val="22"/>
          <w:lang w:val="en-AU"/>
        </w:rPr>
        <w:t>*</w:t>
      </w:r>
      <w:proofErr w:type="gramEnd"/>
      <w:r w:rsidR="009D7A2E" w:rsidRPr="007E187A">
        <w:rPr>
          <w:sz w:val="22"/>
          <w:szCs w:val="22"/>
          <w:lang w:val="en-AU"/>
        </w:rPr>
        <w:t xml:space="preserve"> lost to</w:t>
      </w:r>
      <w:r w:rsidR="00B9309D" w:rsidRPr="007E187A">
        <w:rPr>
          <w:sz w:val="22"/>
          <w:szCs w:val="22"/>
          <w:lang w:val="en-AU"/>
        </w:rPr>
        <w:t xml:space="preserve"> corporate</w:t>
      </w:r>
      <w:r w:rsidR="009D7A2E" w:rsidRPr="007E187A">
        <w:rPr>
          <w:sz w:val="22"/>
          <w:szCs w:val="22"/>
          <w:lang w:val="en-AU"/>
        </w:rPr>
        <w:t xml:space="preserve"> fraud globally, estimated by </w:t>
      </w:r>
      <w:r w:rsidR="007E187A" w:rsidRPr="007E187A">
        <w:rPr>
          <w:sz w:val="22"/>
          <w:szCs w:val="22"/>
          <w:lang w:val="en-AU"/>
        </w:rPr>
        <w:t>A</w:t>
      </w:r>
      <w:r w:rsidR="009D7A2E" w:rsidRPr="007E187A">
        <w:rPr>
          <w:sz w:val="22"/>
          <w:szCs w:val="22"/>
          <w:lang w:val="en-AU"/>
        </w:rPr>
        <w:t>CFE</w:t>
      </w:r>
      <w:r w:rsidR="00FF2593" w:rsidRPr="007E187A">
        <w:rPr>
          <w:sz w:val="22"/>
          <w:szCs w:val="22"/>
          <w:lang w:val="en-AU"/>
        </w:rPr>
        <w:t>,</w:t>
      </w:r>
    </w:p>
    <w:p w14:paraId="07338F9E" w14:textId="5E2F2163" w:rsidR="009D7A2E" w:rsidRPr="007E187A" w:rsidRDefault="00DE3121" w:rsidP="00850AFC">
      <w:pPr>
        <w:pStyle w:val="Body1"/>
        <w:numPr>
          <w:ilvl w:val="0"/>
          <w:numId w:val="15"/>
        </w:numPr>
        <w:jc w:val="left"/>
        <w:rPr>
          <w:sz w:val="22"/>
          <w:szCs w:val="22"/>
          <w:lang w:val="en-AU"/>
        </w:rPr>
      </w:pPr>
      <w:r>
        <w:rPr>
          <w:sz w:val="22"/>
          <w:szCs w:val="22"/>
          <w:lang w:val="en-AU"/>
        </w:rPr>
        <w:t xml:space="preserve">USD </w:t>
      </w:r>
      <w:r w:rsidR="009D7A2E" w:rsidRPr="007E187A">
        <w:rPr>
          <w:sz w:val="22"/>
          <w:szCs w:val="22"/>
          <w:lang w:val="en-AU"/>
        </w:rPr>
        <w:t>$200,000</w:t>
      </w:r>
      <w:r>
        <w:rPr>
          <w:sz w:val="22"/>
          <w:szCs w:val="22"/>
          <w:lang w:val="en-AU"/>
        </w:rPr>
        <w:t xml:space="preserve"> (AUD </w:t>
      </w:r>
      <w:r w:rsidR="005D621E">
        <w:rPr>
          <w:sz w:val="22"/>
          <w:szCs w:val="22"/>
          <w:lang w:val="en-AU"/>
        </w:rPr>
        <w:t>$300,343)</w:t>
      </w:r>
      <w:r w:rsidR="009D7A2E" w:rsidRPr="007E187A">
        <w:rPr>
          <w:sz w:val="22"/>
          <w:szCs w:val="22"/>
          <w:lang w:val="en-AU"/>
        </w:rPr>
        <w:t xml:space="preserve"> median loss in Asia Pacific</w:t>
      </w:r>
      <w:r w:rsidR="007A34F1" w:rsidRPr="007E187A">
        <w:rPr>
          <w:sz w:val="22"/>
          <w:szCs w:val="22"/>
          <w:lang w:val="en-AU"/>
        </w:rPr>
        <w:t xml:space="preserve"> observed cases, </w:t>
      </w:r>
    </w:p>
    <w:p w14:paraId="04BE8CCD" w14:textId="30BE3945" w:rsidR="007A34F1" w:rsidRPr="007E187A" w:rsidRDefault="007A34F1" w:rsidP="00850AFC">
      <w:pPr>
        <w:pStyle w:val="Body1"/>
        <w:numPr>
          <w:ilvl w:val="0"/>
          <w:numId w:val="15"/>
        </w:numPr>
        <w:jc w:val="left"/>
        <w:rPr>
          <w:sz w:val="22"/>
          <w:szCs w:val="22"/>
          <w:lang w:val="en-AU"/>
        </w:rPr>
      </w:pPr>
      <w:r w:rsidRPr="007E187A">
        <w:rPr>
          <w:sz w:val="22"/>
          <w:szCs w:val="22"/>
          <w:lang w:val="en-AU"/>
        </w:rPr>
        <w:t>Corruption (56%) and Billing fraud (21%) are most common observed fraud schemes in Asia Pacific</w:t>
      </w:r>
      <w:r w:rsidR="00FF2593" w:rsidRPr="007E187A">
        <w:rPr>
          <w:sz w:val="22"/>
          <w:szCs w:val="22"/>
          <w:lang w:val="en-AU"/>
        </w:rPr>
        <w:t>,</w:t>
      </w:r>
    </w:p>
    <w:p w14:paraId="7A1E800A" w14:textId="3E3B5EEF" w:rsidR="007A34F1" w:rsidRPr="007E187A" w:rsidRDefault="007A34F1" w:rsidP="00850AFC">
      <w:pPr>
        <w:pStyle w:val="Body1"/>
        <w:numPr>
          <w:ilvl w:val="0"/>
          <w:numId w:val="15"/>
        </w:numPr>
        <w:jc w:val="left"/>
        <w:rPr>
          <w:sz w:val="22"/>
          <w:szCs w:val="22"/>
          <w:lang w:val="en-AU"/>
        </w:rPr>
      </w:pPr>
      <w:r w:rsidRPr="007E187A">
        <w:rPr>
          <w:sz w:val="22"/>
          <w:szCs w:val="22"/>
          <w:lang w:val="en-AU"/>
        </w:rPr>
        <w:t>Tip</w:t>
      </w:r>
      <w:r w:rsidR="00DC64EC">
        <w:rPr>
          <w:sz w:val="22"/>
          <w:szCs w:val="22"/>
          <w:lang w:val="en-AU"/>
        </w:rPr>
        <w:t>offs</w:t>
      </w:r>
      <w:r w:rsidR="00CF51D6">
        <w:rPr>
          <w:sz w:val="22"/>
          <w:szCs w:val="22"/>
          <w:lang w:val="en-AU"/>
        </w:rPr>
        <w:t>/Whistleblowing</w:t>
      </w:r>
      <w:r w:rsidRPr="007E187A">
        <w:rPr>
          <w:sz w:val="22"/>
          <w:szCs w:val="22"/>
          <w:lang w:val="en-AU"/>
        </w:rPr>
        <w:t>, Management reviews and Internal and External audits most common initial detection methods in Asia Pacific</w:t>
      </w:r>
      <w:r w:rsidR="00FF2593" w:rsidRPr="007E187A">
        <w:rPr>
          <w:sz w:val="22"/>
          <w:szCs w:val="22"/>
          <w:lang w:val="en-AU"/>
        </w:rPr>
        <w:t>,</w:t>
      </w:r>
    </w:p>
    <w:p w14:paraId="676C9A83" w14:textId="747ED7B7" w:rsidR="007A34F1" w:rsidRPr="007E187A" w:rsidRDefault="007A34F1" w:rsidP="00850AFC">
      <w:pPr>
        <w:pStyle w:val="Body1"/>
        <w:numPr>
          <w:ilvl w:val="0"/>
          <w:numId w:val="15"/>
        </w:numPr>
        <w:jc w:val="left"/>
        <w:rPr>
          <w:sz w:val="22"/>
          <w:szCs w:val="22"/>
          <w:lang w:val="en-AU"/>
        </w:rPr>
      </w:pPr>
      <w:r w:rsidRPr="007E187A">
        <w:rPr>
          <w:sz w:val="22"/>
          <w:szCs w:val="22"/>
          <w:lang w:val="en-AU"/>
        </w:rPr>
        <w:t xml:space="preserve">61% of organisations observed in Asia Pacific made no recovery of losses. </w:t>
      </w:r>
    </w:p>
    <w:p w14:paraId="58A35010" w14:textId="77777777" w:rsidR="009D7A2E" w:rsidRPr="007E187A" w:rsidRDefault="009D7A2E" w:rsidP="00850AFC">
      <w:pPr>
        <w:pStyle w:val="Body1"/>
        <w:jc w:val="left"/>
        <w:rPr>
          <w:sz w:val="22"/>
          <w:szCs w:val="22"/>
          <w:lang w:val="en-AU"/>
        </w:rPr>
      </w:pPr>
    </w:p>
    <w:p w14:paraId="406E7C14" w14:textId="0A65BBA7" w:rsidR="0020225E" w:rsidRPr="004D3BD3" w:rsidRDefault="009D7A2E" w:rsidP="00850AFC">
      <w:pPr>
        <w:pStyle w:val="Body1"/>
        <w:jc w:val="left"/>
        <w:rPr>
          <w:sz w:val="22"/>
          <w:szCs w:val="22"/>
          <w:lang w:val="en-AU"/>
        </w:rPr>
      </w:pPr>
      <w:r w:rsidRPr="007E187A">
        <w:rPr>
          <w:sz w:val="22"/>
          <w:szCs w:val="22"/>
          <w:lang w:val="en-AU"/>
        </w:rPr>
        <w:t xml:space="preserve">Following the </w:t>
      </w:r>
      <w:hyperlink r:id="rId10" w:history="1">
        <w:r w:rsidRPr="007E187A">
          <w:rPr>
            <w:rStyle w:val="Hyperlink"/>
            <w:sz w:val="22"/>
            <w:szCs w:val="22"/>
            <w:lang w:val="en-AU"/>
          </w:rPr>
          <w:t>Association of Certified Fraud Examiners</w:t>
        </w:r>
      </w:hyperlink>
      <w:r w:rsidRPr="007E187A">
        <w:rPr>
          <w:sz w:val="22"/>
          <w:szCs w:val="22"/>
          <w:lang w:val="en-AU"/>
        </w:rPr>
        <w:t>’ (</w:t>
      </w:r>
      <w:r w:rsidR="007E187A" w:rsidRPr="007E187A">
        <w:rPr>
          <w:sz w:val="22"/>
          <w:szCs w:val="22"/>
          <w:lang w:val="en-AU"/>
        </w:rPr>
        <w:t>A</w:t>
      </w:r>
      <w:r w:rsidRPr="007E187A">
        <w:rPr>
          <w:sz w:val="22"/>
          <w:szCs w:val="22"/>
          <w:lang w:val="en-AU"/>
        </w:rPr>
        <w:t>CFE) publication of “</w:t>
      </w:r>
      <w:hyperlink r:id="rId11" w:history="1">
        <w:r w:rsidRPr="007E187A">
          <w:rPr>
            <w:rStyle w:val="Hyperlink"/>
            <w:sz w:val="22"/>
            <w:szCs w:val="22"/>
            <w:lang w:val="en-AU"/>
          </w:rPr>
          <w:t>Occupational Fraud 2024: A report to the Nations</w:t>
        </w:r>
      </w:hyperlink>
      <w:r w:rsidRPr="007E187A">
        <w:rPr>
          <w:sz w:val="22"/>
          <w:szCs w:val="22"/>
          <w:lang w:val="en-AU"/>
        </w:rPr>
        <w:t xml:space="preserve">”, </w:t>
      </w:r>
      <w:hyperlink r:id="rId12" w:history="1">
        <w:r w:rsidRPr="004D3BD3">
          <w:rPr>
            <w:rStyle w:val="Hyperlink"/>
            <w:sz w:val="22"/>
            <w:szCs w:val="22"/>
            <w:lang w:val="en-AU"/>
          </w:rPr>
          <w:t>Moore Australia</w:t>
        </w:r>
      </w:hyperlink>
      <w:r w:rsidRPr="007E187A">
        <w:rPr>
          <w:sz w:val="22"/>
          <w:szCs w:val="22"/>
          <w:lang w:val="en-AU"/>
        </w:rPr>
        <w:t xml:space="preserve"> forensic audit and accounting experts warn Australian business owners of the importance of remaining vigilant about corporate fraud.</w:t>
      </w:r>
      <w:r w:rsidR="00826378">
        <w:rPr>
          <w:sz w:val="22"/>
          <w:szCs w:val="22"/>
          <w:lang w:val="en-AU"/>
        </w:rPr>
        <w:t xml:space="preserve"> The ACFE report examined 1,921 cases from 138 countries and territories</w:t>
      </w:r>
      <w:r w:rsidR="00A812FC">
        <w:rPr>
          <w:sz w:val="22"/>
          <w:szCs w:val="22"/>
          <w:lang w:val="en-AU"/>
        </w:rPr>
        <w:t xml:space="preserve">, causing losses </w:t>
      </w:r>
      <w:r w:rsidR="001B73F7">
        <w:rPr>
          <w:sz w:val="22"/>
          <w:szCs w:val="22"/>
          <w:lang w:val="en-AU"/>
        </w:rPr>
        <w:t>of more</w:t>
      </w:r>
      <w:r w:rsidR="00A812FC">
        <w:rPr>
          <w:sz w:val="22"/>
          <w:szCs w:val="22"/>
          <w:lang w:val="en-AU"/>
        </w:rPr>
        <w:t xml:space="preserve"> than </w:t>
      </w:r>
      <w:r w:rsidR="00CE0E8C">
        <w:rPr>
          <w:sz w:val="22"/>
          <w:szCs w:val="22"/>
          <w:lang w:val="en-AU"/>
        </w:rPr>
        <w:t xml:space="preserve">USD </w:t>
      </w:r>
      <w:r w:rsidR="00A812FC">
        <w:rPr>
          <w:sz w:val="22"/>
          <w:szCs w:val="22"/>
          <w:lang w:val="en-AU"/>
        </w:rPr>
        <w:t>$3.1 billion</w:t>
      </w:r>
      <w:r w:rsidR="00CE0E8C">
        <w:rPr>
          <w:sz w:val="22"/>
          <w:szCs w:val="22"/>
          <w:lang w:val="en-AU"/>
        </w:rPr>
        <w:t xml:space="preserve"> (AUD $4.5 billion)</w:t>
      </w:r>
      <w:r w:rsidR="00A812FC">
        <w:rPr>
          <w:sz w:val="22"/>
          <w:szCs w:val="22"/>
          <w:lang w:val="en-AU"/>
        </w:rPr>
        <w:t xml:space="preserve"> </w:t>
      </w:r>
      <w:r w:rsidRPr="007E187A">
        <w:rPr>
          <w:sz w:val="22"/>
          <w:szCs w:val="22"/>
          <w:lang w:val="en-AU"/>
        </w:rPr>
        <w:t xml:space="preserve"> </w:t>
      </w:r>
    </w:p>
    <w:p w14:paraId="4960AA74" w14:textId="5F9E8D08" w:rsidR="009D7A2E" w:rsidRPr="00850AFC" w:rsidRDefault="00850AFC" w:rsidP="00850AFC">
      <w:pPr>
        <w:pStyle w:val="Body1"/>
        <w:jc w:val="left"/>
        <w:rPr>
          <w:b/>
          <w:bCs/>
          <w:sz w:val="22"/>
          <w:szCs w:val="22"/>
          <w:lang w:val="en-AU"/>
        </w:rPr>
      </w:pPr>
      <w:r w:rsidRPr="0020225E">
        <w:rPr>
          <w:b/>
          <w:bCs/>
          <w:color w:val="00B0F0"/>
          <w:sz w:val="22"/>
          <w:szCs w:val="22"/>
          <w:lang w:val="en-AU"/>
        </w:rPr>
        <w:t>Occupational fraud is a team sport</w:t>
      </w:r>
      <w:r>
        <w:rPr>
          <w:b/>
          <w:bCs/>
          <w:sz w:val="22"/>
          <w:szCs w:val="22"/>
          <w:lang w:val="en-AU"/>
        </w:rPr>
        <w:br/>
      </w:r>
      <w:r w:rsidR="009D7A2E" w:rsidRPr="007E187A">
        <w:rPr>
          <w:sz w:val="22"/>
          <w:szCs w:val="22"/>
          <w:lang w:val="en-AU"/>
        </w:rPr>
        <w:t>Corporate fraud or occupational fraud occurs</w:t>
      </w:r>
      <w:r w:rsidR="00837465">
        <w:rPr>
          <w:sz w:val="22"/>
          <w:szCs w:val="22"/>
          <w:lang w:val="en-AU"/>
        </w:rPr>
        <w:t xml:space="preserve"> when one or more staff members</w:t>
      </w:r>
      <w:r w:rsidR="00AC203B">
        <w:rPr>
          <w:sz w:val="22"/>
          <w:szCs w:val="22"/>
          <w:lang w:val="en-AU"/>
        </w:rPr>
        <w:t xml:space="preserve"> defraud the organisation </w:t>
      </w:r>
      <w:r w:rsidR="00C36E29">
        <w:rPr>
          <w:sz w:val="22"/>
          <w:szCs w:val="22"/>
          <w:lang w:val="en-AU"/>
        </w:rPr>
        <w:t>that employs them</w:t>
      </w:r>
      <w:r w:rsidR="00AC203B">
        <w:rPr>
          <w:sz w:val="22"/>
          <w:szCs w:val="22"/>
          <w:lang w:val="en-AU"/>
        </w:rPr>
        <w:t xml:space="preserve">. </w:t>
      </w:r>
      <w:r w:rsidR="000E35F5">
        <w:rPr>
          <w:sz w:val="22"/>
          <w:szCs w:val="22"/>
          <w:lang w:val="en-AU"/>
        </w:rPr>
        <w:t xml:space="preserve">According to the study performed by the ACFE, </w:t>
      </w:r>
      <w:r w:rsidR="00E2464B">
        <w:rPr>
          <w:sz w:val="22"/>
          <w:szCs w:val="22"/>
          <w:lang w:val="en-AU"/>
        </w:rPr>
        <w:t>financial crime</w:t>
      </w:r>
      <w:r w:rsidR="00A854AB">
        <w:rPr>
          <w:sz w:val="22"/>
          <w:szCs w:val="22"/>
          <w:lang w:val="en-AU"/>
        </w:rPr>
        <w:t xml:space="preserve"> is </w:t>
      </w:r>
      <w:r w:rsidR="00996ADB">
        <w:rPr>
          <w:sz w:val="22"/>
          <w:szCs w:val="22"/>
          <w:lang w:val="en-AU"/>
        </w:rPr>
        <w:t xml:space="preserve">mainly </w:t>
      </w:r>
      <w:r w:rsidR="00A854AB">
        <w:rPr>
          <w:sz w:val="22"/>
          <w:szCs w:val="22"/>
          <w:lang w:val="en-AU"/>
        </w:rPr>
        <w:t>committed</w:t>
      </w:r>
      <w:r w:rsidR="00E2464B">
        <w:rPr>
          <w:sz w:val="22"/>
          <w:szCs w:val="22"/>
          <w:lang w:val="en-AU"/>
        </w:rPr>
        <w:t xml:space="preserve"> through</w:t>
      </w:r>
      <w:r w:rsidR="009D7A2E" w:rsidRPr="007E187A">
        <w:rPr>
          <w:sz w:val="22"/>
          <w:szCs w:val="22"/>
          <w:lang w:val="en-AU"/>
        </w:rPr>
        <w:t xml:space="preserve"> </w:t>
      </w:r>
      <w:r w:rsidR="00996ADB">
        <w:rPr>
          <w:sz w:val="22"/>
          <w:szCs w:val="22"/>
          <w:lang w:val="en-AU"/>
        </w:rPr>
        <w:t>fraud schemes such as</w:t>
      </w:r>
      <w:r w:rsidR="009D7A2E" w:rsidRPr="007E187A">
        <w:rPr>
          <w:sz w:val="22"/>
          <w:szCs w:val="22"/>
          <w:lang w:val="en-AU"/>
        </w:rPr>
        <w:t xml:space="preserve"> Financial Statement Fraud, Corruption</w:t>
      </w:r>
      <w:r w:rsidR="0093101C">
        <w:rPr>
          <w:sz w:val="22"/>
          <w:szCs w:val="22"/>
          <w:lang w:val="en-AU"/>
        </w:rPr>
        <w:t>,</w:t>
      </w:r>
      <w:r w:rsidR="009D7A2E" w:rsidRPr="007E187A">
        <w:rPr>
          <w:sz w:val="22"/>
          <w:szCs w:val="22"/>
          <w:lang w:val="en-AU"/>
        </w:rPr>
        <w:t xml:space="preserve"> and Asset Misappropriation, though it </w:t>
      </w:r>
      <w:r w:rsidR="00AC203B">
        <w:rPr>
          <w:sz w:val="22"/>
          <w:szCs w:val="22"/>
          <w:lang w:val="en-AU"/>
        </w:rPr>
        <w:t>is common for</w:t>
      </w:r>
      <w:r w:rsidR="009D7A2E" w:rsidRPr="007E187A">
        <w:rPr>
          <w:sz w:val="22"/>
          <w:szCs w:val="22"/>
          <w:lang w:val="en-AU"/>
        </w:rPr>
        <w:t xml:space="preserve"> a </w:t>
      </w:r>
      <w:r w:rsidR="007A34F1" w:rsidRPr="007E187A">
        <w:rPr>
          <w:sz w:val="22"/>
          <w:szCs w:val="22"/>
          <w:lang w:val="en-AU"/>
        </w:rPr>
        <w:t xml:space="preserve">combination </w:t>
      </w:r>
      <w:r w:rsidR="00AC203B">
        <w:rPr>
          <w:sz w:val="22"/>
          <w:szCs w:val="22"/>
          <w:lang w:val="en-AU"/>
        </w:rPr>
        <w:t xml:space="preserve">to </w:t>
      </w:r>
      <w:r>
        <w:rPr>
          <w:sz w:val="22"/>
          <w:szCs w:val="22"/>
          <w:lang w:val="en-AU"/>
        </w:rPr>
        <w:t xml:space="preserve">occur. </w:t>
      </w:r>
      <w:r w:rsidR="009D7A2E" w:rsidRPr="007E187A">
        <w:rPr>
          <w:sz w:val="22"/>
          <w:szCs w:val="22"/>
          <w:lang w:val="en-AU"/>
        </w:rPr>
        <w:t xml:space="preserve">In </w:t>
      </w:r>
      <w:proofErr w:type="gramStart"/>
      <w:r w:rsidR="009D7A2E" w:rsidRPr="007E187A">
        <w:rPr>
          <w:sz w:val="22"/>
          <w:szCs w:val="22"/>
          <w:lang w:val="en-AU"/>
        </w:rPr>
        <w:t>the majority of</w:t>
      </w:r>
      <w:proofErr w:type="gramEnd"/>
      <w:r w:rsidR="009D7A2E" w:rsidRPr="007E187A">
        <w:rPr>
          <w:sz w:val="22"/>
          <w:szCs w:val="22"/>
          <w:lang w:val="en-AU"/>
        </w:rPr>
        <w:t xml:space="preserve"> cases </w:t>
      </w:r>
      <w:r w:rsidR="00B9309D" w:rsidRPr="007E187A">
        <w:rPr>
          <w:sz w:val="22"/>
          <w:szCs w:val="22"/>
          <w:lang w:val="en-AU"/>
        </w:rPr>
        <w:t xml:space="preserve">(54% according to </w:t>
      </w:r>
      <w:r w:rsidR="007E187A" w:rsidRPr="007E187A">
        <w:rPr>
          <w:sz w:val="22"/>
          <w:szCs w:val="22"/>
          <w:lang w:val="en-AU"/>
        </w:rPr>
        <w:t>A</w:t>
      </w:r>
      <w:r w:rsidR="00B9309D" w:rsidRPr="007E187A">
        <w:rPr>
          <w:sz w:val="22"/>
          <w:szCs w:val="22"/>
          <w:lang w:val="en-AU"/>
        </w:rPr>
        <w:t>CFE), collusion occurs, where</w:t>
      </w:r>
      <w:r w:rsidR="007A34F1" w:rsidRPr="007E187A">
        <w:rPr>
          <w:sz w:val="22"/>
          <w:szCs w:val="22"/>
          <w:lang w:val="en-AU"/>
        </w:rPr>
        <w:t xml:space="preserve"> multiple</w:t>
      </w:r>
      <w:r w:rsidR="00B9309D" w:rsidRPr="007E187A">
        <w:rPr>
          <w:sz w:val="22"/>
          <w:szCs w:val="22"/>
          <w:lang w:val="en-AU"/>
        </w:rPr>
        <w:t xml:space="preserve"> perpetrator</w:t>
      </w:r>
      <w:r w:rsidR="007A34F1" w:rsidRPr="007E187A">
        <w:rPr>
          <w:sz w:val="22"/>
          <w:szCs w:val="22"/>
          <w:lang w:val="en-AU"/>
        </w:rPr>
        <w:t>s</w:t>
      </w:r>
      <w:r w:rsidR="00B9309D" w:rsidRPr="007E187A">
        <w:rPr>
          <w:sz w:val="22"/>
          <w:szCs w:val="22"/>
          <w:lang w:val="en-AU"/>
        </w:rPr>
        <w:t xml:space="preserve"> work together to commit a crime. </w:t>
      </w:r>
    </w:p>
    <w:p w14:paraId="477C67A8" w14:textId="7BDCA8D7" w:rsidR="0020225E" w:rsidRPr="007E187A" w:rsidRDefault="00B9309D" w:rsidP="00850AFC">
      <w:pPr>
        <w:pStyle w:val="Body1"/>
        <w:jc w:val="left"/>
        <w:rPr>
          <w:sz w:val="22"/>
          <w:szCs w:val="22"/>
          <w:lang w:val="en-AU"/>
        </w:rPr>
      </w:pPr>
      <w:r w:rsidRPr="007E187A">
        <w:rPr>
          <w:sz w:val="22"/>
          <w:szCs w:val="22"/>
          <w:lang w:val="en-AU"/>
        </w:rPr>
        <w:t>Once they have committed a fraud, perpetrators attempt to hide their actions through the creation of fraudulent physical documents (41%</w:t>
      </w:r>
      <w:r w:rsidR="005A5CE0">
        <w:rPr>
          <w:sz w:val="22"/>
          <w:szCs w:val="22"/>
          <w:lang w:val="en-AU"/>
        </w:rPr>
        <w:t xml:space="preserve"> of cases</w:t>
      </w:r>
      <w:r w:rsidRPr="007E187A">
        <w:rPr>
          <w:sz w:val="22"/>
          <w:szCs w:val="22"/>
          <w:lang w:val="en-AU"/>
        </w:rPr>
        <w:t>) or altered physical documents (37%</w:t>
      </w:r>
      <w:r w:rsidR="005A5CE0">
        <w:rPr>
          <w:sz w:val="22"/>
          <w:szCs w:val="22"/>
          <w:lang w:val="en-AU"/>
        </w:rPr>
        <w:t xml:space="preserve"> of cases</w:t>
      </w:r>
      <w:r w:rsidRPr="007E187A">
        <w:rPr>
          <w:sz w:val="22"/>
          <w:szCs w:val="22"/>
          <w:lang w:val="en-AU"/>
        </w:rPr>
        <w:t xml:space="preserve">). </w:t>
      </w:r>
    </w:p>
    <w:p w14:paraId="39256F25" w14:textId="0C78E1D6" w:rsidR="00B9309D" w:rsidRPr="000B6A69" w:rsidRDefault="00850AFC" w:rsidP="00850AFC">
      <w:pPr>
        <w:pStyle w:val="Body1"/>
        <w:jc w:val="left"/>
        <w:rPr>
          <w:b/>
          <w:bCs/>
          <w:color w:val="00B0F0"/>
          <w:sz w:val="22"/>
          <w:szCs w:val="22"/>
          <w:lang w:val="en-AU"/>
        </w:rPr>
      </w:pPr>
      <w:r w:rsidRPr="0020225E">
        <w:rPr>
          <w:b/>
          <w:bCs/>
          <w:color w:val="00B0F0"/>
          <w:sz w:val="22"/>
          <w:szCs w:val="22"/>
          <w:lang w:val="en-AU"/>
        </w:rPr>
        <w:t>Occupational fraud prevention</w:t>
      </w:r>
      <w:r w:rsidR="00794905">
        <w:rPr>
          <w:b/>
          <w:bCs/>
          <w:color w:val="00B0F0"/>
          <w:sz w:val="22"/>
          <w:szCs w:val="22"/>
          <w:lang w:val="en-AU"/>
        </w:rPr>
        <w:t xml:space="preserve"> is </w:t>
      </w:r>
      <w:r w:rsidR="000B6A69">
        <w:rPr>
          <w:b/>
          <w:bCs/>
          <w:color w:val="00B0F0"/>
          <w:sz w:val="22"/>
          <w:szCs w:val="22"/>
          <w:lang w:val="en-AU"/>
        </w:rPr>
        <w:t>an eve</w:t>
      </w:r>
      <w:r w:rsidR="00596B98">
        <w:rPr>
          <w:b/>
          <w:bCs/>
          <w:color w:val="00B0F0"/>
          <w:sz w:val="22"/>
          <w:szCs w:val="22"/>
          <w:lang w:val="en-AU"/>
        </w:rPr>
        <w:t>n</w:t>
      </w:r>
      <w:r w:rsidR="000B6A69">
        <w:rPr>
          <w:b/>
          <w:bCs/>
          <w:color w:val="00B0F0"/>
          <w:sz w:val="22"/>
          <w:szCs w:val="22"/>
          <w:lang w:val="en-AU"/>
        </w:rPr>
        <w:t xml:space="preserve"> greater team sport</w:t>
      </w:r>
      <w:r w:rsidR="000B6A69">
        <w:rPr>
          <w:b/>
          <w:bCs/>
          <w:color w:val="00B0F0"/>
          <w:sz w:val="22"/>
          <w:szCs w:val="22"/>
          <w:lang w:val="en-AU"/>
        </w:rPr>
        <w:br/>
      </w:r>
      <w:r>
        <w:rPr>
          <w:sz w:val="22"/>
          <w:szCs w:val="22"/>
          <w:lang w:val="en-AU"/>
        </w:rPr>
        <w:t xml:space="preserve">There are </w:t>
      </w:r>
      <w:proofErr w:type="gramStart"/>
      <w:r>
        <w:rPr>
          <w:sz w:val="22"/>
          <w:szCs w:val="22"/>
          <w:lang w:val="en-AU"/>
        </w:rPr>
        <w:t>a number o</w:t>
      </w:r>
      <w:r w:rsidR="00E47BAE">
        <w:rPr>
          <w:sz w:val="22"/>
          <w:szCs w:val="22"/>
          <w:lang w:val="en-AU"/>
        </w:rPr>
        <w:t>f</w:t>
      </w:r>
      <w:proofErr w:type="gramEnd"/>
      <w:r w:rsidR="00E47BAE">
        <w:rPr>
          <w:sz w:val="22"/>
          <w:szCs w:val="22"/>
          <w:lang w:val="en-AU"/>
        </w:rPr>
        <w:t xml:space="preserve"> ways in which organisations can</w:t>
      </w:r>
      <w:r w:rsidR="004754F1">
        <w:rPr>
          <w:sz w:val="22"/>
          <w:szCs w:val="22"/>
          <w:lang w:val="en-AU"/>
        </w:rPr>
        <w:t xml:space="preserve"> effectively</w:t>
      </w:r>
      <w:r w:rsidR="00E47BAE">
        <w:rPr>
          <w:sz w:val="22"/>
          <w:szCs w:val="22"/>
          <w:lang w:val="en-AU"/>
        </w:rPr>
        <w:t xml:space="preserve"> reduce their exposure risk to occupational fraud. For example, fraud awareness training, internal audits, external audits, management reviews, whistleblower infrastructure and surprise audits. </w:t>
      </w:r>
      <w:r w:rsidR="00B9309D" w:rsidRPr="007E187A">
        <w:rPr>
          <w:sz w:val="22"/>
          <w:szCs w:val="22"/>
          <w:lang w:val="en-AU"/>
        </w:rPr>
        <w:t xml:space="preserve">The measures and </w:t>
      </w:r>
      <w:r w:rsidR="00E47BAE">
        <w:rPr>
          <w:sz w:val="22"/>
          <w:szCs w:val="22"/>
          <w:lang w:val="en-AU"/>
        </w:rPr>
        <w:t>quality of the controls</w:t>
      </w:r>
      <w:r w:rsidR="00B9309D" w:rsidRPr="007E187A">
        <w:rPr>
          <w:sz w:val="22"/>
          <w:szCs w:val="22"/>
          <w:lang w:val="en-AU"/>
        </w:rPr>
        <w:t xml:space="preserve"> put in place have a major impact on the size of the loss and the speed with which a fraud case is resolved.  </w:t>
      </w:r>
    </w:p>
    <w:p w14:paraId="729B07A5" w14:textId="0F644CE6" w:rsidR="00E47BAE" w:rsidRDefault="00A962EF" w:rsidP="00850AFC">
      <w:pPr>
        <w:pStyle w:val="Body1"/>
        <w:jc w:val="left"/>
        <w:rPr>
          <w:sz w:val="22"/>
          <w:szCs w:val="22"/>
          <w:lang w:val="en-AU"/>
        </w:rPr>
      </w:pPr>
      <w:r>
        <w:rPr>
          <w:sz w:val="22"/>
          <w:szCs w:val="22"/>
          <w:lang w:val="en-AU"/>
        </w:rPr>
        <w:t>According to the study</w:t>
      </w:r>
      <w:r w:rsidR="00E47BAE">
        <w:rPr>
          <w:sz w:val="22"/>
          <w:szCs w:val="22"/>
          <w:lang w:val="en-AU"/>
        </w:rPr>
        <w:t>, o</w:t>
      </w:r>
      <w:r w:rsidR="00B9309D" w:rsidRPr="007E187A">
        <w:rPr>
          <w:sz w:val="22"/>
          <w:szCs w:val="22"/>
          <w:lang w:val="en-AU"/>
        </w:rPr>
        <w:t>rganisations that did not provide fraud awareness training lost nearly double those who did</w:t>
      </w:r>
      <w:r w:rsidR="005F11B4">
        <w:rPr>
          <w:sz w:val="22"/>
          <w:szCs w:val="22"/>
          <w:lang w:val="en-AU"/>
        </w:rPr>
        <w:t xml:space="preserve"> </w:t>
      </w:r>
      <w:r w:rsidR="00A14830">
        <w:rPr>
          <w:sz w:val="22"/>
          <w:szCs w:val="22"/>
          <w:lang w:val="en-AU"/>
        </w:rPr>
        <w:t>not</w:t>
      </w:r>
      <w:r w:rsidR="00B9309D" w:rsidRPr="007E187A">
        <w:rPr>
          <w:sz w:val="22"/>
          <w:szCs w:val="22"/>
          <w:lang w:val="en-AU"/>
        </w:rPr>
        <w:t xml:space="preserve"> train employees or managers/executives. </w:t>
      </w:r>
    </w:p>
    <w:p w14:paraId="2D2618FB" w14:textId="3B72DC81" w:rsidR="007A34F1" w:rsidRPr="007E187A" w:rsidRDefault="007E187A" w:rsidP="00850AFC">
      <w:pPr>
        <w:pStyle w:val="Body1"/>
        <w:jc w:val="left"/>
        <w:rPr>
          <w:sz w:val="22"/>
          <w:szCs w:val="22"/>
          <w:lang w:val="en-AU"/>
        </w:rPr>
      </w:pPr>
      <w:r w:rsidRPr="007E187A">
        <w:rPr>
          <w:sz w:val="22"/>
          <w:szCs w:val="22"/>
          <w:lang w:val="en-AU"/>
        </w:rPr>
        <w:t>P</w:t>
      </w:r>
      <w:r w:rsidR="007A34F1" w:rsidRPr="007E187A">
        <w:rPr>
          <w:sz w:val="22"/>
          <w:szCs w:val="22"/>
          <w:lang w:val="en-AU"/>
        </w:rPr>
        <w:t>erpetrators</w:t>
      </w:r>
      <w:r w:rsidRPr="007E187A">
        <w:rPr>
          <w:sz w:val="22"/>
          <w:szCs w:val="22"/>
          <w:lang w:val="en-AU"/>
        </w:rPr>
        <w:t xml:space="preserve"> can potentially</w:t>
      </w:r>
      <w:r w:rsidR="007A34F1" w:rsidRPr="007E187A">
        <w:rPr>
          <w:sz w:val="22"/>
          <w:szCs w:val="22"/>
          <w:lang w:val="en-AU"/>
        </w:rPr>
        <w:t xml:space="preserve"> display </w:t>
      </w:r>
      <w:proofErr w:type="gramStart"/>
      <w:r w:rsidR="007A34F1" w:rsidRPr="007E187A">
        <w:rPr>
          <w:sz w:val="22"/>
          <w:szCs w:val="22"/>
          <w:lang w:val="en-AU"/>
        </w:rPr>
        <w:t>a number of</w:t>
      </w:r>
      <w:proofErr w:type="gramEnd"/>
      <w:r w:rsidR="007A34F1" w:rsidRPr="007E187A">
        <w:rPr>
          <w:sz w:val="22"/>
          <w:szCs w:val="22"/>
          <w:lang w:val="en-AU"/>
        </w:rPr>
        <w:t xml:space="preserve"> behavioural red flags</w:t>
      </w:r>
      <w:r w:rsidR="00C16586">
        <w:rPr>
          <w:sz w:val="22"/>
          <w:szCs w:val="22"/>
          <w:lang w:val="en-AU"/>
        </w:rPr>
        <w:t xml:space="preserve"> such as </w:t>
      </w:r>
      <w:r w:rsidR="007A34F1" w:rsidRPr="007E187A">
        <w:rPr>
          <w:sz w:val="22"/>
          <w:szCs w:val="22"/>
          <w:lang w:val="en-AU"/>
        </w:rPr>
        <w:t xml:space="preserve">living beyond </w:t>
      </w:r>
      <w:r w:rsidR="003C3E6D">
        <w:rPr>
          <w:sz w:val="22"/>
          <w:szCs w:val="22"/>
          <w:lang w:val="en-AU"/>
        </w:rPr>
        <w:t xml:space="preserve">their </w:t>
      </w:r>
      <w:r w:rsidR="007A34F1" w:rsidRPr="007E187A">
        <w:rPr>
          <w:sz w:val="22"/>
          <w:szCs w:val="22"/>
          <w:lang w:val="en-AU"/>
        </w:rPr>
        <w:t xml:space="preserve">means (39% of observed cases) and </w:t>
      </w:r>
      <w:r w:rsidR="003C3E6D">
        <w:rPr>
          <w:sz w:val="22"/>
          <w:szCs w:val="22"/>
          <w:lang w:val="en-AU"/>
        </w:rPr>
        <w:t>f</w:t>
      </w:r>
      <w:r w:rsidR="007A34F1" w:rsidRPr="007E187A">
        <w:rPr>
          <w:sz w:val="22"/>
          <w:szCs w:val="22"/>
          <w:lang w:val="en-AU"/>
        </w:rPr>
        <w:t xml:space="preserve">inancial difficulties (29% of observed cases). </w:t>
      </w:r>
      <w:r w:rsidR="003C3E6D">
        <w:rPr>
          <w:sz w:val="22"/>
          <w:szCs w:val="22"/>
          <w:lang w:val="en-AU"/>
        </w:rPr>
        <w:t xml:space="preserve">With adequate and regular fraud awareness training, employees will </w:t>
      </w:r>
      <w:r w:rsidR="006A7CD7">
        <w:rPr>
          <w:sz w:val="22"/>
          <w:szCs w:val="22"/>
          <w:lang w:val="en-AU"/>
        </w:rPr>
        <w:t xml:space="preserve">be more vigilant </w:t>
      </w:r>
      <w:r w:rsidR="00C36E29">
        <w:rPr>
          <w:sz w:val="22"/>
          <w:szCs w:val="22"/>
          <w:lang w:val="en-AU"/>
        </w:rPr>
        <w:t xml:space="preserve">and likely to recognise </w:t>
      </w:r>
      <w:r w:rsidR="006A7CD7">
        <w:rPr>
          <w:sz w:val="22"/>
          <w:szCs w:val="22"/>
          <w:lang w:val="en-AU"/>
        </w:rPr>
        <w:t>these red flags.</w:t>
      </w:r>
    </w:p>
    <w:p w14:paraId="78EB1EB6" w14:textId="4082244B" w:rsidR="00E06A92" w:rsidRDefault="00000000" w:rsidP="00850AFC">
      <w:pPr>
        <w:pStyle w:val="Body1"/>
        <w:jc w:val="left"/>
        <w:rPr>
          <w:sz w:val="22"/>
          <w:szCs w:val="22"/>
          <w:lang w:val="en-AU"/>
        </w:rPr>
      </w:pPr>
      <w:hyperlink r:id="rId13" w:history="1">
        <w:r w:rsidR="007A34F1" w:rsidRPr="007E187A">
          <w:rPr>
            <w:rStyle w:val="Hyperlink"/>
            <w:sz w:val="22"/>
            <w:szCs w:val="22"/>
            <w:lang w:val="en-AU"/>
          </w:rPr>
          <w:t>Nick Goosen,</w:t>
        </w:r>
      </w:hyperlink>
      <w:r w:rsidR="007A34F1" w:rsidRPr="007E187A">
        <w:rPr>
          <w:sz w:val="22"/>
          <w:szCs w:val="22"/>
          <w:lang w:val="en-AU"/>
        </w:rPr>
        <w:t xml:space="preserve"> a Director at Moore Australia (WA) </w:t>
      </w:r>
      <w:r w:rsidR="007A34F1" w:rsidRPr="0030423D">
        <w:rPr>
          <w:sz w:val="22"/>
          <w:szCs w:val="22"/>
          <w:lang w:val="en-AU"/>
        </w:rPr>
        <w:t xml:space="preserve">and a </w:t>
      </w:r>
      <w:r w:rsidR="001D3250">
        <w:rPr>
          <w:sz w:val="22"/>
          <w:szCs w:val="22"/>
          <w:lang w:val="en-AU"/>
        </w:rPr>
        <w:t xml:space="preserve">member of the </w:t>
      </w:r>
      <w:r w:rsidR="00762E55">
        <w:rPr>
          <w:sz w:val="22"/>
          <w:szCs w:val="22"/>
          <w:lang w:val="en-AU"/>
        </w:rPr>
        <w:t>ACFE</w:t>
      </w:r>
      <w:r w:rsidR="00FF2593" w:rsidRPr="001D3250">
        <w:rPr>
          <w:sz w:val="22"/>
          <w:szCs w:val="22"/>
          <w:lang w:val="en-AU"/>
        </w:rPr>
        <w:t xml:space="preserve"> </w:t>
      </w:r>
      <w:r w:rsidR="00FF2593" w:rsidRPr="0030423D">
        <w:rPr>
          <w:sz w:val="22"/>
          <w:szCs w:val="22"/>
          <w:lang w:val="en-AU"/>
        </w:rPr>
        <w:t xml:space="preserve">with </w:t>
      </w:r>
      <w:r w:rsidR="00FB094B">
        <w:rPr>
          <w:sz w:val="22"/>
          <w:szCs w:val="22"/>
          <w:lang w:val="en-AU"/>
        </w:rPr>
        <w:t xml:space="preserve">over </w:t>
      </w:r>
      <w:r w:rsidR="00FF2593" w:rsidRPr="0030423D">
        <w:rPr>
          <w:sz w:val="22"/>
          <w:szCs w:val="22"/>
          <w:lang w:val="en-AU"/>
        </w:rPr>
        <w:t>30 years’</w:t>
      </w:r>
      <w:r w:rsidR="00FF2593" w:rsidRPr="007E187A">
        <w:rPr>
          <w:sz w:val="22"/>
          <w:szCs w:val="22"/>
          <w:lang w:val="en-AU"/>
        </w:rPr>
        <w:t xml:space="preserve"> experience in forensic accounting and audit</w:t>
      </w:r>
      <w:r w:rsidR="00C36E29">
        <w:rPr>
          <w:sz w:val="22"/>
          <w:szCs w:val="22"/>
          <w:lang w:val="en-AU"/>
        </w:rPr>
        <w:t>,</w:t>
      </w:r>
      <w:r w:rsidR="007A34F1" w:rsidRPr="007E187A">
        <w:rPr>
          <w:sz w:val="22"/>
          <w:szCs w:val="22"/>
          <w:lang w:val="en-AU"/>
        </w:rPr>
        <w:t xml:space="preserve"> commented: </w:t>
      </w:r>
    </w:p>
    <w:p w14:paraId="5B691154" w14:textId="2D59DAC5" w:rsidR="00E06A92" w:rsidRDefault="00800696" w:rsidP="00850AFC">
      <w:pPr>
        <w:pStyle w:val="Body1"/>
        <w:jc w:val="left"/>
        <w:rPr>
          <w:sz w:val="22"/>
          <w:szCs w:val="22"/>
          <w:lang w:val="en-AU"/>
        </w:rPr>
      </w:pPr>
      <w:r>
        <w:rPr>
          <w:sz w:val="22"/>
          <w:szCs w:val="22"/>
          <w:lang w:val="en-AU"/>
        </w:rPr>
        <w:t>“</w:t>
      </w:r>
      <w:r w:rsidR="00E06A92" w:rsidRPr="004F27BE">
        <w:rPr>
          <w:i/>
          <w:iCs/>
          <w:sz w:val="22"/>
          <w:szCs w:val="22"/>
          <w:lang w:val="en-AU"/>
        </w:rPr>
        <w:t xml:space="preserve">As part of </w:t>
      </w:r>
      <w:r w:rsidR="00312209" w:rsidRPr="004F27BE">
        <w:rPr>
          <w:i/>
          <w:iCs/>
          <w:sz w:val="22"/>
          <w:szCs w:val="22"/>
          <w:lang w:val="en-AU"/>
        </w:rPr>
        <w:t xml:space="preserve">the overall governance </w:t>
      </w:r>
      <w:r w:rsidR="00E308E1" w:rsidRPr="004F27BE">
        <w:rPr>
          <w:i/>
          <w:iCs/>
          <w:sz w:val="22"/>
          <w:szCs w:val="22"/>
          <w:lang w:val="en-AU"/>
        </w:rPr>
        <w:t>structure</w:t>
      </w:r>
      <w:r w:rsidR="00E06A92" w:rsidRPr="004F27BE">
        <w:rPr>
          <w:i/>
          <w:iCs/>
          <w:sz w:val="22"/>
          <w:szCs w:val="22"/>
          <w:lang w:val="en-AU"/>
        </w:rPr>
        <w:t xml:space="preserve">, organisations should take time and effort to </w:t>
      </w:r>
      <w:r w:rsidR="001F5AD7" w:rsidRPr="004F27BE">
        <w:rPr>
          <w:i/>
          <w:iCs/>
          <w:sz w:val="22"/>
          <w:szCs w:val="22"/>
          <w:lang w:val="en-AU"/>
        </w:rPr>
        <w:t xml:space="preserve">implement </w:t>
      </w:r>
      <w:r w:rsidR="00E06A92" w:rsidRPr="004F27BE">
        <w:rPr>
          <w:i/>
          <w:iCs/>
          <w:sz w:val="22"/>
          <w:szCs w:val="22"/>
          <w:lang w:val="en-AU"/>
        </w:rPr>
        <w:t xml:space="preserve">robust fraud prevention </w:t>
      </w:r>
      <w:r w:rsidR="001F5AD7" w:rsidRPr="004F27BE">
        <w:rPr>
          <w:i/>
          <w:iCs/>
          <w:sz w:val="22"/>
          <w:szCs w:val="22"/>
          <w:lang w:val="en-AU"/>
        </w:rPr>
        <w:t xml:space="preserve">and detection </w:t>
      </w:r>
      <w:r w:rsidR="00E06A92" w:rsidRPr="004F27BE">
        <w:rPr>
          <w:i/>
          <w:iCs/>
          <w:sz w:val="22"/>
          <w:szCs w:val="22"/>
          <w:lang w:val="en-AU"/>
        </w:rPr>
        <w:t xml:space="preserve">measures </w:t>
      </w:r>
      <w:r w:rsidR="001F5AD7" w:rsidRPr="004F27BE">
        <w:rPr>
          <w:i/>
          <w:iCs/>
          <w:sz w:val="22"/>
          <w:szCs w:val="22"/>
          <w:lang w:val="en-AU"/>
        </w:rPr>
        <w:t xml:space="preserve">to </w:t>
      </w:r>
      <w:r w:rsidR="00E06A92" w:rsidRPr="004F27BE">
        <w:rPr>
          <w:i/>
          <w:iCs/>
          <w:sz w:val="22"/>
          <w:szCs w:val="22"/>
          <w:lang w:val="en-AU"/>
        </w:rPr>
        <w:t xml:space="preserve">safeguard their organisation from potential losses. </w:t>
      </w:r>
      <w:r w:rsidRPr="004F27BE">
        <w:rPr>
          <w:i/>
          <w:iCs/>
          <w:sz w:val="22"/>
          <w:szCs w:val="22"/>
          <w:lang w:val="en-AU"/>
        </w:rPr>
        <w:t xml:space="preserve">Organisations of any size will </w:t>
      </w:r>
      <w:r w:rsidR="00FB094B">
        <w:rPr>
          <w:i/>
          <w:iCs/>
          <w:sz w:val="22"/>
          <w:szCs w:val="22"/>
          <w:lang w:val="en-AU"/>
        </w:rPr>
        <w:t>be less exposed to fraud risks</w:t>
      </w:r>
      <w:r w:rsidRPr="004F27BE">
        <w:rPr>
          <w:i/>
          <w:iCs/>
          <w:sz w:val="22"/>
          <w:szCs w:val="22"/>
          <w:lang w:val="en-AU"/>
        </w:rPr>
        <w:t xml:space="preserve"> </w:t>
      </w:r>
      <w:r w:rsidR="00FB094B">
        <w:rPr>
          <w:i/>
          <w:iCs/>
          <w:sz w:val="22"/>
          <w:szCs w:val="22"/>
          <w:lang w:val="en-AU"/>
        </w:rPr>
        <w:t>if they</w:t>
      </w:r>
      <w:r w:rsidR="00FB094B" w:rsidRPr="004F27BE">
        <w:rPr>
          <w:i/>
          <w:iCs/>
          <w:sz w:val="22"/>
          <w:szCs w:val="22"/>
          <w:lang w:val="en-AU"/>
        </w:rPr>
        <w:t xml:space="preserve"> </w:t>
      </w:r>
      <w:r w:rsidRPr="004F27BE">
        <w:rPr>
          <w:i/>
          <w:iCs/>
          <w:sz w:val="22"/>
          <w:szCs w:val="22"/>
          <w:lang w:val="en-AU"/>
        </w:rPr>
        <w:t xml:space="preserve">train their staff, ensure adequate governance processes are in place and have this as a standing agenda item on their </w:t>
      </w:r>
      <w:r w:rsidR="00FB094B">
        <w:rPr>
          <w:i/>
          <w:iCs/>
          <w:sz w:val="22"/>
          <w:szCs w:val="22"/>
          <w:lang w:val="en-AU"/>
        </w:rPr>
        <w:t>governance committee</w:t>
      </w:r>
      <w:r w:rsidR="00FB094B" w:rsidRPr="004F27BE">
        <w:rPr>
          <w:i/>
          <w:iCs/>
          <w:sz w:val="22"/>
          <w:szCs w:val="22"/>
          <w:lang w:val="en-AU"/>
        </w:rPr>
        <w:t xml:space="preserve"> </w:t>
      </w:r>
      <w:r w:rsidRPr="004F27BE">
        <w:rPr>
          <w:i/>
          <w:iCs/>
          <w:sz w:val="22"/>
          <w:szCs w:val="22"/>
          <w:lang w:val="en-AU"/>
        </w:rPr>
        <w:t>agendas</w:t>
      </w:r>
      <w:r>
        <w:rPr>
          <w:sz w:val="22"/>
          <w:szCs w:val="22"/>
          <w:lang w:val="en-AU"/>
        </w:rPr>
        <w:t>.”</w:t>
      </w:r>
    </w:p>
    <w:p w14:paraId="70111348" w14:textId="56502EA4" w:rsidR="00706346" w:rsidRPr="00470473" w:rsidRDefault="004F1B21" w:rsidP="00850AFC">
      <w:pPr>
        <w:pStyle w:val="Body1"/>
        <w:jc w:val="left"/>
        <w:rPr>
          <w:i/>
          <w:iCs/>
          <w:sz w:val="22"/>
          <w:szCs w:val="22"/>
          <w:lang w:val="en-AU"/>
        </w:rPr>
      </w:pPr>
      <w:r>
        <w:rPr>
          <w:sz w:val="22"/>
          <w:szCs w:val="22"/>
          <w:lang w:val="en-AU"/>
        </w:rPr>
        <w:t>“</w:t>
      </w:r>
      <w:r w:rsidR="00CF51D6">
        <w:rPr>
          <w:i/>
          <w:iCs/>
          <w:sz w:val="22"/>
          <w:szCs w:val="22"/>
          <w:lang w:val="en-AU"/>
        </w:rPr>
        <w:t>We</w:t>
      </w:r>
      <w:r w:rsidR="007A34F1" w:rsidRPr="004F1B21">
        <w:rPr>
          <w:i/>
          <w:iCs/>
          <w:sz w:val="22"/>
          <w:szCs w:val="22"/>
          <w:lang w:val="en-AU"/>
        </w:rPr>
        <w:t xml:space="preserve"> live in a society where people are </w:t>
      </w:r>
      <w:r w:rsidR="00593651" w:rsidRPr="004F1B21">
        <w:rPr>
          <w:i/>
          <w:iCs/>
          <w:sz w:val="22"/>
          <w:szCs w:val="22"/>
          <w:lang w:val="en-AU"/>
        </w:rPr>
        <w:t>faced with increasing economic pressure</w:t>
      </w:r>
      <w:r w:rsidR="00E56B54" w:rsidRPr="004F1B21">
        <w:rPr>
          <w:i/>
          <w:iCs/>
          <w:sz w:val="22"/>
          <w:szCs w:val="22"/>
          <w:lang w:val="en-AU"/>
        </w:rPr>
        <w:t xml:space="preserve">, and continued peer pressure to maintain a </w:t>
      </w:r>
      <w:r w:rsidR="00FB094B">
        <w:rPr>
          <w:i/>
          <w:iCs/>
          <w:sz w:val="22"/>
          <w:szCs w:val="22"/>
          <w:lang w:val="en-AU"/>
        </w:rPr>
        <w:t xml:space="preserve">certain </w:t>
      </w:r>
      <w:r w:rsidR="00E56B54" w:rsidRPr="004F1B21">
        <w:rPr>
          <w:i/>
          <w:iCs/>
          <w:sz w:val="22"/>
          <w:szCs w:val="22"/>
          <w:lang w:val="en-AU"/>
        </w:rPr>
        <w:t>lifestyle</w:t>
      </w:r>
      <w:r w:rsidR="00593651" w:rsidRPr="004F1B21">
        <w:rPr>
          <w:i/>
          <w:iCs/>
          <w:sz w:val="22"/>
          <w:szCs w:val="22"/>
          <w:lang w:val="en-AU"/>
        </w:rPr>
        <w:t xml:space="preserve">. The </w:t>
      </w:r>
      <w:r w:rsidRPr="004F1B21">
        <w:rPr>
          <w:i/>
          <w:iCs/>
          <w:sz w:val="22"/>
          <w:szCs w:val="22"/>
          <w:lang w:val="en-AU"/>
        </w:rPr>
        <w:t>cost-of-living</w:t>
      </w:r>
      <w:r w:rsidR="00E56B54" w:rsidRPr="004F1B21">
        <w:rPr>
          <w:i/>
          <w:iCs/>
          <w:sz w:val="22"/>
          <w:szCs w:val="22"/>
          <w:lang w:val="en-AU"/>
        </w:rPr>
        <w:t xml:space="preserve"> crisis is having a real and persistent effect on people’s ability to put food on the table</w:t>
      </w:r>
      <w:r w:rsidR="00CF51D6">
        <w:rPr>
          <w:sz w:val="22"/>
          <w:szCs w:val="22"/>
          <w:lang w:val="en-AU"/>
        </w:rPr>
        <w:t>.</w:t>
      </w:r>
    </w:p>
    <w:p w14:paraId="306316EE" w14:textId="43D48C02" w:rsidR="00FF2593" w:rsidRDefault="00A812FC" w:rsidP="00850AFC">
      <w:pPr>
        <w:pStyle w:val="Body1"/>
        <w:jc w:val="left"/>
        <w:rPr>
          <w:sz w:val="22"/>
          <w:szCs w:val="22"/>
          <w:lang w:val="en-AU"/>
        </w:rPr>
      </w:pPr>
      <w:r>
        <w:rPr>
          <w:sz w:val="22"/>
          <w:szCs w:val="22"/>
          <w:lang w:val="en-AU"/>
        </w:rPr>
        <w:t xml:space="preserve">* </w:t>
      </w:r>
      <w:proofErr w:type="gramStart"/>
      <w:r>
        <w:rPr>
          <w:sz w:val="22"/>
          <w:szCs w:val="22"/>
          <w:lang w:val="en-AU"/>
        </w:rPr>
        <w:t>all</w:t>
      </w:r>
      <w:proofErr w:type="gramEnd"/>
      <w:r>
        <w:rPr>
          <w:sz w:val="22"/>
          <w:szCs w:val="22"/>
          <w:lang w:val="en-AU"/>
        </w:rPr>
        <w:t xml:space="preserve"> </w:t>
      </w:r>
      <w:r w:rsidR="00CE0E8C">
        <w:rPr>
          <w:sz w:val="22"/>
          <w:szCs w:val="22"/>
          <w:lang w:val="en-AU"/>
        </w:rPr>
        <w:t xml:space="preserve">USD amounts from original ACFE publication. Conversion made on 12 June 2024. </w:t>
      </w:r>
    </w:p>
    <w:p w14:paraId="13661B4A" w14:textId="6A8E601F" w:rsidR="00C30F08" w:rsidRPr="007E187A" w:rsidRDefault="00C30F08" w:rsidP="00C30F08">
      <w:pPr>
        <w:pStyle w:val="Body1"/>
        <w:jc w:val="left"/>
        <w:rPr>
          <w:sz w:val="22"/>
          <w:szCs w:val="22"/>
          <w:lang w:val="en-AU"/>
        </w:rPr>
      </w:pPr>
      <w:hyperlink r:id="rId14" w:history="1">
        <w:r w:rsidRPr="007E187A">
          <w:rPr>
            <w:rStyle w:val="Hyperlink"/>
            <w:sz w:val="22"/>
            <w:szCs w:val="22"/>
            <w:lang w:val="en-AU"/>
          </w:rPr>
          <w:t>Moore Australia</w:t>
        </w:r>
      </w:hyperlink>
      <w:r w:rsidRPr="007E187A">
        <w:rPr>
          <w:sz w:val="22"/>
          <w:szCs w:val="22"/>
          <w:lang w:val="en-AU"/>
        </w:rPr>
        <w:t xml:space="preserve"> is a network of independent </w:t>
      </w:r>
      <w:r>
        <w:rPr>
          <w:sz w:val="22"/>
          <w:szCs w:val="22"/>
          <w:lang w:val="en-AU"/>
        </w:rPr>
        <w:t>tax</w:t>
      </w:r>
      <w:r w:rsidRPr="007E187A">
        <w:rPr>
          <w:sz w:val="22"/>
          <w:szCs w:val="22"/>
          <w:lang w:val="en-AU"/>
        </w:rPr>
        <w:t xml:space="preserve">, audit, and advisory firms with 550+ staff members and offices across Australia. Moore Australia is also an independent member of the </w:t>
      </w:r>
      <w:hyperlink r:id="rId15" w:history="1">
        <w:r w:rsidRPr="007E187A">
          <w:rPr>
            <w:rStyle w:val="Hyperlink"/>
            <w:sz w:val="22"/>
            <w:szCs w:val="22"/>
            <w:lang w:val="en-AU"/>
          </w:rPr>
          <w:t>Moore Global</w:t>
        </w:r>
      </w:hyperlink>
      <w:r w:rsidRPr="007E187A">
        <w:rPr>
          <w:sz w:val="22"/>
          <w:szCs w:val="22"/>
          <w:lang w:val="en-AU"/>
        </w:rPr>
        <w:t xml:space="preserve"> network, the 11</w:t>
      </w:r>
      <w:r w:rsidRPr="007E187A">
        <w:rPr>
          <w:sz w:val="22"/>
          <w:szCs w:val="22"/>
          <w:vertAlign w:val="superscript"/>
          <w:lang w:val="en-AU"/>
        </w:rPr>
        <w:t>th</w:t>
      </w:r>
      <w:r w:rsidRPr="007E187A">
        <w:rPr>
          <w:sz w:val="22"/>
          <w:szCs w:val="22"/>
          <w:lang w:val="en-AU"/>
        </w:rPr>
        <w:t xml:space="preserve"> largest professional services network in the world. </w:t>
      </w:r>
    </w:p>
    <w:p w14:paraId="5D4C0984" w14:textId="77777777" w:rsidR="00C30F08" w:rsidRPr="007E187A" w:rsidRDefault="00C30F08" w:rsidP="00850AFC">
      <w:pPr>
        <w:pStyle w:val="Body1"/>
        <w:jc w:val="left"/>
        <w:rPr>
          <w:sz w:val="22"/>
          <w:szCs w:val="22"/>
          <w:lang w:val="en-AU"/>
        </w:rPr>
      </w:pPr>
    </w:p>
    <w:p w14:paraId="22049E1A" w14:textId="77777777" w:rsidR="007E187A" w:rsidRPr="00076EF5"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r>
        <w:rPr>
          <w:rFonts w:ascii="Arial" w:eastAsia="Arial" w:hAnsi="Arial" w:cs="Arial"/>
          <w:b/>
          <w:bCs/>
          <w:color w:val="000000"/>
          <w:sz w:val="20"/>
          <w:szCs w:val="20"/>
        </w:rPr>
        <w:t xml:space="preserve">- </w:t>
      </w:r>
      <w:r w:rsidRPr="00076EF5">
        <w:rPr>
          <w:rFonts w:ascii="Arial" w:eastAsia="Arial" w:hAnsi="Arial" w:cs="Arial"/>
          <w:b/>
          <w:bCs/>
          <w:color w:val="000000"/>
          <w:sz w:val="20"/>
          <w:szCs w:val="20"/>
        </w:rPr>
        <w:t xml:space="preserve">ENDS – </w:t>
      </w:r>
    </w:p>
    <w:p w14:paraId="26321627" w14:textId="77777777" w:rsidR="007E187A" w:rsidRDefault="007E187A" w:rsidP="00850AFC">
      <w:pPr>
        <w:pBdr>
          <w:top w:val="nil"/>
          <w:left w:val="nil"/>
          <w:bottom w:val="nil"/>
          <w:right w:val="nil"/>
          <w:between w:val="nil"/>
        </w:pBdr>
        <w:spacing w:before="140" w:after="180" w:line="240" w:lineRule="auto"/>
        <w:rPr>
          <w:rFonts w:ascii="Arial" w:eastAsia="Arial" w:hAnsi="Arial" w:cs="Arial"/>
          <w:b/>
          <w:bCs/>
          <w:color w:val="00B0F0"/>
          <w:sz w:val="20"/>
          <w:szCs w:val="20"/>
        </w:rPr>
      </w:pPr>
    </w:p>
    <w:p w14:paraId="6A8898D0" w14:textId="77777777" w:rsidR="007E187A" w:rsidRPr="005062D1" w:rsidRDefault="007E187A" w:rsidP="00850AFC">
      <w:pPr>
        <w:pBdr>
          <w:top w:val="nil"/>
          <w:left w:val="nil"/>
          <w:bottom w:val="nil"/>
          <w:right w:val="nil"/>
          <w:between w:val="nil"/>
        </w:pBdr>
        <w:spacing w:before="140" w:after="180" w:line="240" w:lineRule="auto"/>
        <w:rPr>
          <w:rFonts w:ascii="Arial" w:eastAsia="Arial" w:hAnsi="Arial" w:cs="Arial"/>
          <w:b/>
          <w:bCs/>
          <w:color w:val="00B0F0"/>
          <w:sz w:val="20"/>
          <w:szCs w:val="20"/>
        </w:rPr>
      </w:pPr>
      <w:r w:rsidRPr="005062D1">
        <w:rPr>
          <w:rFonts w:ascii="Arial" w:eastAsia="Arial" w:hAnsi="Arial" w:cs="Arial"/>
          <w:b/>
          <w:bCs/>
          <w:color w:val="00B0F0"/>
          <w:sz w:val="20"/>
          <w:szCs w:val="20"/>
        </w:rPr>
        <w:t xml:space="preserve">Notes to editor: </w:t>
      </w:r>
    </w:p>
    <w:p w14:paraId="6E753352" w14:textId="1A0F7078" w:rsidR="007E187A"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r>
        <w:rPr>
          <w:rFonts w:ascii="Arial" w:hAnsi="Arial" w:cs="Arial"/>
        </w:rPr>
        <w:t>T</w:t>
      </w:r>
      <w:r w:rsidRPr="007E187A">
        <w:rPr>
          <w:rFonts w:ascii="Arial" w:hAnsi="Arial" w:cs="Arial"/>
        </w:rPr>
        <w:t xml:space="preserve">he </w:t>
      </w:r>
      <w:hyperlink r:id="rId16" w:history="1">
        <w:r w:rsidRPr="007E187A">
          <w:rPr>
            <w:rStyle w:val="Hyperlink"/>
            <w:rFonts w:ascii="Arial" w:hAnsi="Arial" w:cs="Arial"/>
          </w:rPr>
          <w:t>Association of Certified Fraud Examiners</w:t>
        </w:r>
      </w:hyperlink>
      <w:r w:rsidRPr="007E187A">
        <w:rPr>
          <w:rFonts w:ascii="Arial" w:hAnsi="Arial" w:cs="Arial"/>
        </w:rPr>
        <w:t>’ (ACFE) publication of “</w:t>
      </w:r>
      <w:hyperlink r:id="rId17" w:history="1">
        <w:r w:rsidRPr="007E187A">
          <w:rPr>
            <w:rStyle w:val="Hyperlink"/>
            <w:rFonts w:ascii="Arial" w:hAnsi="Arial" w:cs="Arial"/>
          </w:rPr>
          <w:t>Occupational Fraud 2024: A report to the Nations</w:t>
        </w:r>
      </w:hyperlink>
      <w:r>
        <w:rPr>
          <w:rFonts w:ascii="Arial" w:hAnsi="Arial" w:cs="Arial"/>
        </w:rPr>
        <w:t xml:space="preserve"> can be accessed through their website, and should be consulted to form a holistic view of Occupational Fraud. </w:t>
      </w:r>
    </w:p>
    <w:p w14:paraId="70489856" w14:textId="77777777" w:rsidR="007E187A"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p>
    <w:p w14:paraId="213EB4D2" w14:textId="5D5A67AF" w:rsidR="007E187A"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r w:rsidRPr="00076EF5">
        <w:rPr>
          <w:rFonts w:ascii="Arial" w:eastAsia="Arial" w:hAnsi="Arial" w:cs="Arial"/>
          <w:b/>
          <w:bCs/>
          <w:color w:val="000000"/>
          <w:sz w:val="20"/>
          <w:szCs w:val="20"/>
        </w:rPr>
        <w:t>About the Moore Australia Network</w:t>
      </w:r>
    </w:p>
    <w:p w14:paraId="7DABA2A5" w14:textId="33B6DF57" w:rsidR="007E187A" w:rsidRPr="00076EF5"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rPr>
      </w:pPr>
      <w:r w:rsidRPr="00076EF5">
        <w:rPr>
          <w:rFonts w:ascii="Arial" w:eastAsia="Arial" w:hAnsi="Arial" w:cs="Arial"/>
          <w:color w:val="000000"/>
          <w:sz w:val="20"/>
          <w:szCs w:val="20"/>
        </w:rPr>
        <w:t xml:space="preserve">Moore Australia is a network of independent tax, </w:t>
      </w:r>
      <w:r w:rsidR="0008526D" w:rsidRPr="00076EF5">
        <w:rPr>
          <w:rFonts w:ascii="Arial" w:eastAsia="Arial" w:hAnsi="Arial" w:cs="Arial"/>
          <w:color w:val="000000"/>
          <w:sz w:val="20"/>
          <w:szCs w:val="20"/>
        </w:rPr>
        <w:t>audit,</w:t>
      </w:r>
      <w:r w:rsidRPr="00076EF5">
        <w:rPr>
          <w:rFonts w:ascii="Arial" w:eastAsia="Arial" w:hAnsi="Arial" w:cs="Arial"/>
          <w:color w:val="000000"/>
          <w:sz w:val="20"/>
          <w:szCs w:val="20"/>
        </w:rPr>
        <w:t xml:space="preserve"> and advisory firms in Australia</w:t>
      </w:r>
      <w:r w:rsidR="00C30F08">
        <w:rPr>
          <w:rFonts w:ascii="Arial" w:eastAsia="Arial" w:hAnsi="Arial" w:cs="Arial"/>
          <w:color w:val="000000"/>
          <w:sz w:val="20"/>
          <w:szCs w:val="20"/>
        </w:rPr>
        <w:t xml:space="preserve"> </w:t>
      </w:r>
      <w:r w:rsidR="00C30F08" w:rsidRPr="00C30F08">
        <w:rPr>
          <w:rFonts w:ascii="Arial" w:eastAsia="Arial" w:hAnsi="Arial" w:cs="Arial"/>
          <w:color w:val="000000"/>
          <w:sz w:val="20"/>
          <w:szCs w:val="20"/>
        </w:rPr>
        <w:t>with 550+ staff members</w:t>
      </w:r>
      <w:r w:rsidRPr="00076EF5">
        <w:rPr>
          <w:rFonts w:ascii="Arial" w:eastAsia="Arial" w:hAnsi="Arial" w:cs="Arial"/>
          <w:color w:val="000000"/>
          <w:sz w:val="20"/>
          <w:szCs w:val="20"/>
        </w:rPr>
        <w:t>. Moore Australia is an independent member of the Moore Global Network -</w:t>
      </w:r>
      <w:r w:rsidR="00C30F08">
        <w:rPr>
          <w:rFonts w:ascii="Arial" w:eastAsia="Arial" w:hAnsi="Arial" w:cs="Arial"/>
          <w:color w:val="000000"/>
          <w:sz w:val="20"/>
          <w:szCs w:val="20"/>
        </w:rPr>
        <w:t xml:space="preserve"> </w:t>
      </w:r>
      <w:r w:rsidRPr="00076EF5">
        <w:rPr>
          <w:rFonts w:ascii="Arial" w:eastAsia="Arial" w:hAnsi="Arial" w:cs="Arial"/>
          <w:color w:val="000000"/>
          <w:sz w:val="20"/>
          <w:szCs w:val="20"/>
        </w:rPr>
        <w:t>the 11th largest accounting network in the world</w:t>
      </w:r>
      <w:r w:rsidR="0008526D">
        <w:rPr>
          <w:rFonts w:ascii="Arial" w:eastAsia="Arial" w:hAnsi="Arial" w:cs="Arial"/>
          <w:color w:val="000000"/>
          <w:sz w:val="20"/>
          <w:szCs w:val="20"/>
        </w:rPr>
        <w:t xml:space="preserve"> </w:t>
      </w:r>
      <w:r w:rsidRPr="00076EF5">
        <w:rPr>
          <w:rFonts w:ascii="Arial" w:eastAsia="Arial" w:hAnsi="Arial" w:cs="Arial"/>
          <w:color w:val="000000"/>
          <w:sz w:val="20"/>
          <w:szCs w:val="20"/>
        </w:rPr>
        <w:t xml:space="preserve">- providing tax, </w:t>
      </w:r>
      <w:r w:rsidR="0008526D" w:rsidRPr="00076EF5">
        <w:rPr>
          <w:rFonts w:ascii="Arial" w:eastAsia="Arial" w:hAnsi="Arial" w:cs="Arial"/>
          <w:color w:val="000000"/>
          <w:sz w:val="20"/>
          <w:szCs w:val="20"/>
        </w:rPr>
        <w:t>auditing,</w:t>
      </w:r>
      <w:r w:rsidRPr="00076EF5">
        <w:rPr>
          <w:rFonts w:ascii="Arial" w:eastAsia="Arial" w:hAnsi="Arial" w:cs="Arial"/>
          <w:color w:val="000000"/>
          <w:sz w:val="20"/>
          <w:szCs w:val="20"/>
        </w:rPr>
        <w:t xml:space="preserve"> and financial reporting services, advising local, </w:t>
      </w:r>
      <w:r w:rsidR="0008526D" w:rsidRPr="00076EF5">
        <w:rPr>
          <w:rFonts w:ascii="Arial" w:eastAsia="Arial" w:hAnsi="Arial" w:cs="Arial"/>
          <w:color w:val="000000"/>
          <w:sz w:val="20"/>
          <w:szCs w:val="20"/>
        </w:rPr>
        <w:t>national,</w:t>
      </w:r>
      <w:r w:rsidRPr="00076EF5">
        <w:rPr>
          <w:rFonts w:ascii="Arial" w:eastAsia="Arial" w:hAnsi="Arial" w:cs="Arial"/>
          <w:color w:val="000000"/>
          <w:sz w:val="20"/>
          <w:szCs w:val="20"/>
        </w:rPr>
        <w:t xml:space="preserve"> and international clients in the public and private sectors. </w:t>
      </w:r>
    </w:p>
    <w:p w14:paraId="3C8B8349" w14:textId="4C0C057D" w:rsidR="007E187A" w:rsidRPr="00076EF5"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rPr>
      </w:pPr>
      <w:r w:rsidRPr="00076EF5">
        <w:rPr>
          <w:rFonts w:ascii="Arial" w:eastAsia="Arial" w:hAnsi="Arial" w:cs="Arial"/>
          <w:color w:val="000000"/>
          <w:sz w:val="20"/>
          <w:szCs w:val="20"/>
        </w:rPr>
        <w:t>Moore Australia has extensive experience in state and local government, biotechnology, energy mining and renewables, health and aged care, education, manufacturing, not for profit, property and construction, retail and tourism and hospitality and has a strong presence in the following service lines: Asia Desk, Audit &amp; Assurance, Business Advisory, Taxation, Corporate Finance</w:t>
      </w:r>
      <w:r w:rsidR="00C30F08">
        <w:rPr>
          <w:rFonts w:ascii="Arial" w:eastAsia="Arial" w:hAnsi="Arial" w:cs="Arial"/>
          <w:color w:val="000000"/>
          <w:sz w:val="20"/>
          <w:szCs w:val="20"/>
        </w:rPr>
        <w:t>,</w:t>
      </w:r>
      <w:r w:rsidRPr="00076EF5">
        <w:rPr>
          <w:rFonts w:ascii="Arial" w:eastAsia="Arial" w:hAnsi="Arial" w:cs="Arial"/>
          <w:color w:val="000000"/>
          <w:sz w:val="20"/>
          <w:szCs w:val="20"/>
        </w:rPr>
        <w:t xml:space="preserve"> Governance and Risk Advisory</w:t>
      </w:r>
      <w:r w:rsidR="00C30F08">
        <w:rPr>
          <w:rFonts w:ascii="Arial" w:eastAsia="Arial" w:hAnsi="Arial" w:cs="Arial"/>
          <w:color w:val="000000"/>
          <w:sz w:val="20"/>
          <w:szCs w:val="20"/>
        </w:rPr>
        <w:t xml:space="preserve"> and Forensic Audit and Accounting</w:t>
      </w:r>
      <w:r w:rsidRPr="00076EF5">
        <w:rPr>
          <w:rFonts w:ascii="Arial" w:eastAsia="Arial" w:hAnsi="Arial" w:cs="Arial"/>
          <w:color w:val="000000"/>
          <w:sz w:val="20"/>
          <w:szCs w:val="20"/>
        </w:rPr>
        <w:t>.</w:t>
      </w:r>
    </w:p>
    <w:p w14:paraId="4F385E5C" w14:textId="77777777" w:rsidR="007E187A"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p>
    <w:p w14:paraId="4088DD44" w14:textId="77777777" w:rsidR="007E187A" w:rsidRPr="00076EF5" w:rsidRDefault="007E187A" w:rsidP="00850AFC">
      <w:pPr>
        <w:pBdr>
          <w:top w:val="nil"/>
          <w:left w:val="nil"/>
          <w:bottom w:val="nil"/>
          <w:right w:val="nil"/>
          <w:between w:val="nil"/>
        </w:pBdr>
        <w:spacing w:before="140" w:after="180" w:line="240" w:lineRule="auto"/>
        <w:rPr>
          <w:rFonts w:ascii="Arial" w:eastAsia="Arial" w:hAnsi="Arial" w:cs="Arial"/>
          <w:b/>
          <w:bCs/>
          <w:color w:val="000000"/>
          <w:sz w:val="20"/>
          <w:szCs w:val="20"/>
        </w:rPr>
      </w:pPr>
      <w:r w:rsidRPr="00076EF5">
        <w:rPr>
          <w:rFonts w:ascii="Arial" w:eastAsia="Arial" w:hAnsi="Arial" w:cs="Arial"/>
          <w:b/>
          <w:bCs/>
          <w:color w:val="000000"/>
          <w:sz w:val="20"/>
          <w:szCs w:val="20"/>
        </w:rPr>
        <w:t>Contact details</w:t>
      </w:r>
      <w:r>
        <w:rPr>
          <w:rFonts w:ascii="Arial" w:eastAsia="Arial" w:hAnsi="Arial" w:cs="Arial"/>
          <w:b/>
          <w:bCs/>
          <w:color w:val="000000"/>
          <w:sz w:val="20"/>
          <w:szCs w:val="20"/>
        </w:rPr>
        <w:t xml:space="preserve"> Moore Australia</w:t>
      </w:r>
      <w:r w:rsidRPr="00076EF5">
        <w:rPr>
          <w:rFonts w:ascii="Arial" w:eastAsia="Arial" w:hAnsi="Arial" w:cs="Arial"/>
          <w:b/>
          <w:bCs/>
          <w:color w:val="000000"/>
          <w:sz w:val="20"/>
          <w:szCs w:val="20"/>
        </w:rPr>
        <w:t>:</w:t>
      </w:r>
    </w:p>
    <w:p w14:paraId="5D9D5E7B" w14:textId="2C090D6F" w:rsidR="007E187A" w:rsidRPr="00076EF5"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rPr>
      </w:pPr>
      <w:r w:rsidRPr="00076EF5">
        <w:rPr>
          <w:rFonts w:ascii="Arial" w:eastAsia="Arial" w:hAnsi="Arial" w:cs="Arial"/>
          <w:color w:val="000000"/>
          <w:sz w:val="20"/>
          <w:szCs w:val="20"/>
        </w:rPr>
        <w:t>Doriena Parsons</w:t>
      </w:r>
      <w:r>
        <w:rPr>
          <w:rFonts w:ascii="Arial" w:eastAsia="Arial" w:hAnsi="Arial" w:cs="Arial"/>
          <w:color w:val="000000"/>
          <w:sz w:val="20"/>
          <w:szCs w:val="20"/>
        </w:rPr>
        <w:br/>
      </w:r>
      <w:r w:rsidRPr="00076EF5">
        <w:rPr>
          <w:rFonts w:ascii="Arial" w:eastAsia="Arial" w:hAnsi="Arial" w:cs="Arial"/>
          <w:color w:val="000000"/>
          <w:sz w:val="20"/>
          <w:szCs w:val="20"/>
        </w:rPr>
        <w:t>National Head of Strategic Communications and Marketing</w:t>
      </w:r>
      <w:r>
        <w:rPr>
          <w:rFonts w:ascii="Arial" w:eastAsia="Arial" w:hAnsi="Arial" w:cs="Arial"/>
          <w:color w:val="000000"/>
          <w:sz w:val="20"/>
          <w:szCs w:val="20"/>
        </w:rPr>
        <w:t xml:space="preserve">| </w:t>
      </w:r>
      <w:r>
        <w:rPr>
          <w:rFonts w:ascii="Arial" w:eastAsia="Arial" w:hAnsi="Arial" w:cs="Arial"/>
          <w:color w:val="000000"/>
          <w:sz w:val="20"/>
          <w:szCs w:val="20"/>
        </w:rPr>
        <w:br/>
      </w:r>
      <w:r w:rsidRPr="00076EF5">
        <w:rPr>
          <w:rFonts w:ascii="Arial" w:eastAsia="Arial" w:hAnsi="Arial" w:cs="Arial"/>
          <w:color w:val="000000"/>
          <w:sz w:val="20"/>
          <w:szCs w:val="20"/>
        </w:rPr>
        <w:t>Moore Australia and Moore Markhams</w:t>
      </w:r>
    </w:p>
    <w:p w14:paraId="793E7A48" w14:textId="77777777" w:rsidR="007E187A" w:rsidRPr="00076EF5"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rPr>
      </w:pPr>
      <w:r w:rsidRPr="00076EF5">
        <w:rPr>
          <w:rFonts w:ascii="Arial" w:eastAsia="Arial" w:hAnsi="Arial" w:cs="Arial"/>
          <w:color w:val="000000"/>
          <w:sz w:val="20"/>
          <w:szCs w:val="20"/>
        </w:rPr>
        <w:t>Doriena.Parsons@moore-australia.com.au</w:t>
      </w:r>
      <w:r w:rsidRPr="00076EF5">
        <w:rPr>
          <w:rFonts w:ascii="Arial" w:eastAsia="Arial" w:hAnsi="Arial" w:cs="Arial"/>
          <w:color w:val="000000"/>
          <w:sz w:val="20"/>
          <w:szCs w:val="20"/>
        </w:rPr>
        <w:tab/>
      </w:r>
    </w:p>
    <w:p w14:paraId="6CE6280C" w14:textId="12676530" w:rsidR="007E187A"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lang w:val="nl-NL"/>
        </w:rPr>
      </w:pPr>
      <w:r w:rsidRPr="00984B5D">
        <w:rPr>
          <w:rFonts w:ascii="Arial" w:eastAsia="Arial" w:hAnsi="Arial" w:cs="Arial"/>
          <w:sz w:val="20"/>
          <w:szCs w:val="20"/>
          <w:lang w:val="nl-NL"/>
        </w:rPr>
        <w:t>www.moore-australia.com.au</w:t>
      </w:r>
      <w:r w:rsidRPr="00076EF5">
        <w:rPr>
          <w:rFonts w:ascii="Arial" w:eastAsia="Arial" w:hAnsi="Arial" w:cs="Arial"/>
          <w:color w:val="000000"/>
          <w:sz w:val="20"/>
          <w:szCs w:val="20"/>
          <w:lang w:val="nl-NL"/>
        </w:rPr>
        <w:br/>
        <w:t>+61 (0) 459 227 970</w:t>
      </w:r>
      <w:r w:rsidRPr="00076EF5">
        <w:rPr>
          <w:rFonts w:ascii="Arial" w:eastAsia="Arial" w:hAnsi="Arial" w:cs="Arial"/>
          <w:color w:val="000000"/>
          <w:sz w:val="20"/>
          <w:szCs w:val="20"/>
          <w:lang w:val="nl-NL"/>
        </w:rPr>
        <w:br/>
        <w:t>GMT+8</w:t>
      </w:r>
    </w:p>
    <w:p w14:paraId="549B32FE" w14:textId="77777777" w:rsidR="007E187A" w:rsidRPr="00076EF5" w:rsidRDefault="007E187A" w:rsidP="00850AFC">
      <w:pPr>
        <w:pBdr>
          <w:top w:val="nil"/>
          <w:left w:val="nil"/>
          <w:bottom w:val="nil"/>
          <w:right w:val="nil"/>
          <w:between w:val="nil"/>
        </w:pBdr>
        <w:spacing w:before="140" w:after="180" w:line="240" w:lineRule="auto"/>
        <w:rPr>
          <w:rFonts w:ascii="Arial" w:eastAsia="Arial" w:hAnsi="Arial" w:cs="Arial"/>
          <w:color w:val="000000"/>
          <w:sz w:val="20"/>
          <w:szCs w:val="20"/>
          <w:lang w:val="nl-NL"/>
        </w:rPr>
      </w:pPr>
    </w:p>
    <w:p w14:paraId="3D971E70" w14:textId="77777777" w:rsidR="00FF2593" w:rsidRPr="007E187A" w:rsidRDefault="00FF2593" w:rsidP="00850AFC">
      <w:pPr>
        <w:pStyle w:val="Body1"/>
        <w:jc w:val="left"/>
        <w:rPr>
          <w:lang w:val="nl-NL"/>
        </w:rPr>
      </w:pPr>
    </w:p>
    <w:sectPr w:rsidR="00FF2593" w:rsidRPr="007E187A" w:rsidSect="003B25C1">
      <w:headerReference w:type="default" r:id="rId18"/>
      <w:pgSz w:w="11906" w:h="16838"/>
      <w:pgMar w:top="1843" w:right="1418" w:bottom="822"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5B8BD" w14:textId="77777777" w:rsidR="00EE381E" w:rsidRDefault="00EE381E" w:rsidP="00382947">
      <w:pPr>
        <w:spacing w:after="0" w:line="240" w:lineRule="auto"/>
      </w:pPr>
      <w:r>
        <w:separator/>
      </w:r>
    </w:p>
  </w:endnote>
  <w:endnote w:type="continuationSeparator" w:id="0">
    <w:p w14:paraId="3BA5A0A9" w14:textId="77777777" w:rsidR="00EE381E" w:rsidRDefault="00EE381E" w:rsidP="0038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EEAE3" w14:textId="77777777" w:rsidR="00EE381E" w:rsidRDefault="00EE381E" w:rsidP="00382947">
      <w:pPr>
        <w:spacing w:after="0" w:line="240" w:lineRule="auto"/>
      </w:pPr>
      <w:r>
        <w:separator/>
      </w:r>
    </w:p>
  </w:footnote>
  <w:footnote w:type="continuationSeparator" w:id="0">
    <w:p w14:paraId="6268EC3D" w14:textId="77777777" w:rsidR="00EE381E" w:rsidRDefault="00EE381E" w:rsidP="0038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A3B8" w14:textId="77777777" w:rsidR="00FE2A77" w:rsidRDefault="00FE2A77">
    <w:pPr>
      <w:pStyle w:val="Header"/>
    </w:pPr>
    <w:r>
      <w:rPr>
        <w:noProof/>
      </w:rPr>
      <w:drawing>
        <wp:inline distT="0" distB="0" distL="0" distR="0" wp14:anchorId="6E5331A6" wp14:editId="08A4AAE3">
          <wp:extent cx="1363846" cy="360000"/>
          <wp:effectExtent l="0" t="0" r="0" b="254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63846"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0D31"/>
    <w:multiLevelType w:val="multilevel"/>
    <w:tmpl w:val="AA669EA0"/>
    <w:lvl w:ilvl="0">
      <w:start w:val="1"/>
      <w:numFmt w:val="decimal"/>
      <w:pStyle w:val="Number1"/>
      <w:lvlText w:val="%1"/>
      <w:lvlJc w:val="left"/>
      <w:pPr>
        <w:ind w:left="360" w:hanging="360"/>
      </w:pPr>
      <w:rPr>
        <w:rFonts w:hint="default"/>
      </w:rPr>
    </w:lvl>
    <w:lvl w:ilvl="1">
      <w:start w:val="1"/>
      <w:numFmt w:val="decimal"/>
      <w:pStyle w:val="Number2"/>
      <w:lvlText w:val="%1.%2."/>
      <w:lvlJc w:val="left"/>
      <w:pPr>
        <w:ind w:left="792" w:hanging="432"/>
      </w:pPr>
    </w:lvl>
    <w:lvl w:ilvl="2">
      <w:start w:val="1"/>
      <w:numFmt w:val="decimal"/>
      <w:pStyle w:val="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F405F"/>
    <w:multiLevelType w:val="multilevel"/>
    <w:tmpl w:val="825EC542"/>
    <w:lvl w:ilvl="0">
      <w:start w:val="1"/>
      <w:numFmt w:val="lowerRoman"/>
      <w:lvlText w:val="%1."/>
      <w:lvlJc w:val="right"/>
      <w:pPr>
        <w:ind w:left="720" w:hanging="360"/>
      </w:pPr>
      <w:rPr>
        <w:rFonts w:hint="default"/>
      </w:rPr>
    </w:lvl>
    <w:lvl w:ilvl="1">
      <w:start w:val="1"/>
      <w:numFmt w:val="lowerRoman"/>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684E17"/>
    <w:multiLevelType w:val="hybridMultilevel"/>
    <w:tmpl w:val="0924F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733BE"/>
    <w:multiLevelType w:val="multilevel"/>
    <w:tmpl w:val="65C6E924"/>
    <w:lvl w:ilvl="0">
      <w:start w:val="1"/>
      <w:numFmt w:val="lowerRoman"/>
      <w:lvlText w:val="%1."/>
      <w:lvlJc w:val="right"/>
      <w:pPr>
        <w:ind w:left="720" w:hanging="360"/>
      </w:pPr>
      <w:rPr>
        <w:rFonts w:hint="default"/>
      </w:rPr>
    </w:lvl>
    <w:lvl w:ilvl="1">
      <w:start w:val="1"/>
      <w:numFmt w:val="lowerRoman"/>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A4384B"/>
    <w:multiLevelType w:val="multilevel"/>
    <w:tmpl w:val="62523C76"/>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A11627"/>
    <w:multiLevelType w:val="multilevel"/>
    <w:tmpl w:val="65C6E924"/>
    <w:lvl w:ilvl="0">
      <w:start w:val="1"/>
      <w:numFmt w:val="lowerRoman"/>
      <w:lvlText w:val="%1."/>
      <w:lvlJc w:val="right"/>
      <w:pPr>
        <w:ind w:left="720" w:hanging="360"/>
      </w:pPr>
      <w:rPr>
        <w:rFonts w:hint="default"/>
      </w:rPr>
    </w:lvl>
    <w:lvl w:ilvl="1">
      <w:start w:val="1"/>
      <w:numFmt w:val="lowerRoman"/>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5F4A38"/>
    <w:multiLevelType w:val="hybridMultilevel"/>
    <w:tmpl w:val="6DA4B796"/>
    <w:lvl w:ilvl="0" w:tplc="A7D29F5C">
      <w:start w:val="1"/>
      <w:numFmt w:val="bullet"/>
      <w:lvlText w:val="-"/>
      <w:lvlJc w:val="left"/>
      <w:pPr>
        <w:ind w:left="720" w:hanging="360"/>
      </w:pPr>
      <w:rPr>
        <w:rFonts w:ascii="Calibri Light" w:hAnsi="Calibri Light" w:hint="default"/>
        <w:color w:val="00B0F0"/>
      </w:rPr>
    </w:lvl>
    <w:lvl w:ilvl="1" w:tplc="A5E48B0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274A4A"/>
    <w:multiLevelType w:val="hybridMultilevel"/>
    <w:tmpl w:val="32FA0A7A"/>
    <w:lvl w:ilvl="0" w:tplc="F0D0E2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175BE9"/>
    <w:multiLevelType w:val="hybridMultilevel"/>
    <w:tmpl w:val="D4125946"/>
    <w:lvl w:ilvl="0" w:tplc="3DF2EB9C">
      <w:start w:val="1"/>
      <w:numFmt w:val="bullet"/>
      <w:pStyle w:val="Bullet1"/>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3007AC"/>
    <w:multiLevelType w:val="hybridMultilevel"/>
    <w:tmpl w:val="3244E8C0"/>
    <w:lvl w:ilvl="0" w:tplc="8B06DD0E">
      <w:start w:val="1"/>
      <w:numFmt w:val="bullet"/>
      <w:pStyle w:val="Bullet2"/>
      <w:lvlText w:val="o"/>
      <w:lvlJc w:val="left"/>
      <w:pPr>
        <w:ind w:left="720" w:hanging="360"/>
      </w:pPr>
      <w:rPr>
        <w:rFonts w:ascii="Courier New" w:hAnsi="Courier New" w:hint="default"/>
        <w:color w:val="00B0F0"/>
      </w:rPr>
    </w:lvl>
    <w:lvl w:ilvl="1" w:tplc="9EBE564C">
      <w:start w:val="1"/>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C7438B"/>
    <w:multiLevelType w:val="hybridMultilevel"/>
    <w:tmpl w:val="CE589CC2"/>
    <w:lvl w:ilvl="0" w:tplc="A7D29F5C">
      <w:start w:val="1"/>
      <w:numFmt w:val="bullet"/>
      <w:lvlText w:val="-"/>
      <w:lvlJc w:val="left"/>
      <w:pPr>
        <w:ind w:left="720" w:hanging="360"/>
      </w:pPr>
      <w:rPr>
        <w:rFonts w:ascii="Calibri Light" w:hAnsi="Calibri Light" w:hint="default"/>
        <w:color w:val="00B0F0"/>
      </w:rPr>
    </w:lvl>
    <w:lvl w:ilvl="1" w:tplc="3328E4D4">
      <w:start w:val="1"/>
      <w:numFmt w:val="bullet"/>
      <w:pStyle w:val="Bullet3"/>
      <w:lvlText w:val="-"/>
      <w:lvlJc w:val="left"/>
      <w:pPr>
        <w:ind w:left="1440" w:hanging="360"/>
      </w:pPr>
      <w:rPr>
        <w:rFonts w:ascii="Calibri Light" w:hAnsi="Calibri Light" w:hint="default"/>
        <w:color w:val="00B0F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223796"/>
    <w:multiLevelType w:val="hybridMultilevel"/>
    <w:tmpl w:val="780242BC"/>
    <w:lvl w:ilvl="0" w:tplc="B65463E2">
      <w:start w:val="1"/>
      <w:numFmt w:val="lowerLetter"/>
      <w:pStyle w:val="Alph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2D36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551BBB"/>
    <w:multiLevelType w:val="hybridMultilevel"/>
    <w:tmpl w:val="33E2BE6A"/>
    <w:lvl w:ilvl="0" w:tplc="E9F28272">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781A3DC3"/>
    <w:multiLevelType w:val="hybridMultilevel"/>
    <w:tmpl w:val="41ACC672"/>
    <w:lvl w:ilvl="0" w:tplc="98F0B5EC">
      <w:start w:val="1"/>
      <w:numFmt w:val="lowerRoman"/>
      <w:pStyle w:val="Numeral1"/>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CC27BD"/>
    <w:multiLevelType w:val="multilevel"/>
    <w:tmpl w:val="FA38F684"/>
    <w:lvl w:ilvl="0">
      <w:start w:val="1"/>
      <w:numFmt w:val="lowerRoman"/>
      <w:lvlText w:val="%1."/>
      <w:lvlJc w:val="right"/>
      <w:pPr>
        <w:ind w:left="720" w:hanging="360"/>
      </w:pPr>
      <w:rPr>
        <w:rFonts w:hint="default"/>
      </w:rPr>
    </w:lvl>
    <w:lvl w:ilvl="1">
      <w:start w:val="1"/>
      <w:numFmt w:val="lowerRoman"/>
      <w:pStyle w:val="Numeral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31973256">
    <w:abstractNumId w:val="0"/>
  </w:num>
  <w:num w:numId="2" w16cid:durableId="1141119801">
    <w:abstractNumId w:val="4"/>
  </w:num>
  <w:num w:numId="3" w16cid:durableId="14887469">
    <w:abstractNumId w:val="11"/>
  </w:num>
  <w:num w:numId="4" w16cid:durableId="1879128284">
    <w:abstractNumId w:val="8"/>
  </w:num>
  <w:num w:numId="5" w16cid:durableId="909463145">
    <w:abstractNumId w:val="9"/>
  </w:num>
  <w:num w:numId="6" w16cid:durableId="1586110393">
    <w:abstractNumId w:val="6"/>
  </w:num>
  <w:num w:numId="7" w16cid:durableId="1239097757">
    <w:abstractNumId w:val="10"/>
  </w:num>
  <w:num w:numId="8" w16cid:durableId="1923367769">
    <w:abstractNumId w:val="14"/>
  </w:num>
  <w:num w:numId="9" w16cid:durableId="178275425">
    <w:abstractNumId w:val="12"/>
  </w:num>
  <w:num w:numId="10" w16cid:durableId="1417752493">
    <w:abstractNumId w:val="1"/>
  </w:num>
  <w:num w:numId="11" w16cid:durableId="688485910">
    <w:abstractNumId w:val="3"/>
  </w:num>
  <w:num w:numId="12" w16cid:durableId="139881689">
    <w:abstractNumId w:val="5"/>
  </w:num>
  <w:num w:numId="13" w16cid:durableId="631639291">
    <w:abstractNumId w:val="13"/>
  </w:num>
  <w:num w:numId="14" w16cid:durableId="342977680">
    <w:abstractNumId w:val="15"/>
  </w:num>
  <w:num w:numId="15" w16cid:durableId="1736321066">
    <w:abstractNumId w:val="2"/>
  </w:num>
  <w:num w:numId="16" w16cid:durableId="2076272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2E"/>
    <w:rsid w:val="00026B51"/>
    <w:rsid w:val="0006269B"/>
    <w:rsid w:val="0008526D"/>
    <w:rsid w:val="000B6A69"/>
    <w:rsid w:val="000C2629"/>
    <w:rsid w:val="000C2A71"/>
    <w:rsid w:val="000E35F5"/>
    <w:rsid w:val="000F3A53"/>
    <w:rsid w:val="00114E6D"/>
    <w:rsid w:val="00190FF0"/>
    <w:rsid w:val="001B73F7"/>
    <w:rsid w:val="001D07D4"/>
    <w:rsid w:val="001D3250"/>
    <w:rsid w:val="001F5AD7"/>
    <w:rsid w:val="0020225E"/>
    <w:rsid w:val="00202A79"/>
    <w:rsid w:val="00216529"/>
    <w:rsid w:val="0023126B"/>
    <w:rsid w:val="00243DD1"/>
    <w:rsid w:val="002A0ACE"/>
    <w:rsid w:val="002D37E6"/>
    <w:rsid w:val="0030423D"/>
    <w:rsid w:val="00312209"/>
    <w:rsid w:val="00313E3A"/>
    <w:rsid w:val="0034724A"/>
    <w:rsid w:val="003734F4"/>
    <w:rsid w:val="00382947"/>
    <w:rsid w:val="00393771"/>
    <w:rsid w:val="003B25C1"/>
    <w:rsid w:val="003C3E6D"/>
    <w:rsid w:val="003D559D"/>
    <w:rsid w:val="00451A8F"/>
    <w:rsid w:val="00470473"/>
    <w:rsid w:val="004754F1"/>
    <w:rsid w:val="004D3BD3"/>
    <w:rsid w:val="004E5D04"/>
    <w:rsid w:val="004F1B21"/>
    <w:rsid w:val="004F27BE"/>
    <w:rsid w:val="005148B4"/>
    <w:rsid w:val="00593651"/>
    <w:rsid w:val="00596B98"/>
    <w:rsid w:val="005A5CE0"/>
    <w:rsid w:val="005B654F"/>
    <w:rsid w:val="005D4258"/>
    <w:rsid w:val="005D621E"/>
    <w:rsid w:val="005F0B06"/>
    <w:rsid w:val="005F11B4"/>
    <w:rsid w:val="005F4957"/>
    <w:rsid w:val="0061476D"/>
    <w:rsid w:val="0068434D"/>
    <w:rsid w:val="00693734"/>
    <w:rsid w:val="006A7CD7"/>
    <w:rsid w:val="006C09BA"/>
    <w:rsid w:val="006D4116"/>
    <w:rsid w:val="00706346"/>
    <w:rsid w:val="00744E4E"/>
    <w:rsid w:val="00762E55"/>
    <w:rsid w:val="00777174"/>
    <w:rsid w:val="00790A0D"/>
    <w:rsid w:val="00794905"/>
    <w:rsid w:val="007A15CE"/>
    <w:rsid w:val="007A34F1"/>
    <w:rsid w:val="007E187A"/>
    <w:rsid w:val="007F12DB"/>
    <w:rsid w:val="00800696"/>
    <w:rsid w:val="00826378"/>
    <w:rsid w:val="00837465"/>
    <w:rsid w:val="00850AFC"/>
    <w:rsid w:val="00876C74"/>
    <w:rsid w:val="008842A8"/>
    <w:rsid w:val="0089646E"/>
    <w:rsid w:val="008C0614"/>
    <w:rsid w:val="008C5B59"/>
    <w:rsid w:val="00904312"/>
    <w:rsid w:val="0093101C"/>
    <w:rsid w:val="009335DD"/>
    <w:rsid w:val="00984B5D"/>
    <w:rsid w:val="00996ADB"/>
    <w:rsid w:val="009D7A2E"/>
    <w:rsid w:val="00A14830"/>
    <w:rsid w:val="00A25369"/>
    <w:rsid w:val="00A51DEC"/>
    <w:rsid w:val="00A525D2"/>
    <w:rsid w:val="00A74847"/>
    <w:rsid w:val="00A812FC"/>
    <w:rsid w:val="00A854AB"/>
    <w:rsid w:val="00A962EF"/>
    <w:rsid w:val="00AC203B"/>
    <w:rsid w:val="00B44976"/>
    <w:rsid w:val="00B9309D"/>
    <w:rsid w:val="00B97073"/>
    <w:rsid w:val="00BB69F0"/>
    <w:rsid w:val="00BB6D24"/>
    <w:rsid w:val="00BE476F"/>
    <w:rsid w:val="00BF30D2"/>
    <w:rsid w:val="00C16586"/>
    <w:rsid w:val="00C30F08"/>
    <w:rsid w:val="00C36E29"/>
    <w:rsid w:val="00C73999"/>
    <w:rsid w:val="00CE0E8C"/>
    <w:rsid w:val="00CE2294"/>
    <w:rsid w:val="00CF51D6"/>
    <w:rsid w:val="00D00706"/>
    <w:rsid w:val="00D03552"/>
    <w:rsid w:val="00D52BEF"/>
    <w:rsid w:val="00D643BB"/>
    <w:rsid w:val="00D77955"/>
    <w:rsid w:val="00D925C2"/>
    <w:rsid w:val="00DA3E15"/>
    <w:rsid w:val="00DB6F13"/>
    <w:rsid w:val="00DC64EC"/>
    <w:rsid w:val="00DD4A3C"/>
    <w:rsid w:val="00DE3121"/>
    <w:rsid w:val="00DE413B"/>
    <w:rsid w:val="00DE78BB"/>
    <w:rsid w:val="00E06A92"/>
    <w:rsid w:val="00E128E0"/>
    <w:rsid w:val="00E2464B"/>
    <w:rsid w:val="00E308E1"/>
    <w:rsid w:val="00E31360"/>
    <w:rsid w:val="00E4105C"/>
    <w:rsid w:val="00E47BAE"/>
    <w:rsid w:val="00E56B54"/>
    <w:rsid w:val="00E81353"/>
    <w:rsid w:val="00E858B8"/>
    <w:rsid w:val="00EA43CE"/>
    <w:rsid w:val="00EA637C"/>
    <w:rsid w:val="00ED54A6"/>
    <w:rsid w:val="00EE381E"/>
    <w:rsid w:val="00EE4C8D"/>
    <w:rsid w:val="00F20FD3"/>
    <w:rsid w:val="00F62902"/>
    <w:rsid w:val="00F64CCE"/>
    <w:rsid w:val="00F7057B"/>
    <w:rsid w:val="00F864FE"/>
    <w:rsid w:val="00FB094B"/>
    <w:rsid w:val="00FC4AD8"/>
    <w:rsid w:val="00FE2A77"/>
    <w:rsid w:val="00FE4D7A"/>
    <w:rsid w:val="00FF0F95"/>
    <w:rsid w:val="00FF2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74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7A"/>
    <w:rPr>
      <w:rFonts w:ascii="Calibri" w:eastAsia="Calibri" w:hAnsi="Calibri" w:cs="Calibri"/>
      <w:lang w:eastAsia="en-AU"/>
    </w:rPr>
  </w:style>
  <w:style w:type="paragraph" w:styleId="Heading1">
    <w:name w:val="heading 1"/>
    <w:link w:val="Heading1Char"/>
    <w:uiPriority w:val="9"/>
    <w:qFormat/>
    <w:rsid w:val="00DB6F13"/>
    <w:pPr>
      <w:keepNext/>
      <w:keepLines/>
      <w:spacing w:before="140" w:after="180" w:line="240" w:lineRule="auto"/>
      <w:jc w:val="both"/>
      <w:outlineLvl w:val="0"/>
    </w:pPr>
    <w:rPr>
      <w:rFonts w:ascii="Arial" w:eastAsiaTheme="majorEastAsia" w:hAnsi="Arial" w:cstheme="majorBidi"/>
      <w:b/>
      <w:color w:val="00B0F0"/>
      <w:sz w:val="28"/>
      <w:szCs w:val="32"/>
    </w:rPr>
  </w:style>
  <w:style w:type="paragraph" w:styleId="Heading2">
    <w:name w:val="heading 2"/>
    <w:link w:val="Heading2Char"/>
    <w:uiPriority w:val="9"/>
    <w:unhideWhenUsed/>
    <w:qFormat/>
    <w:rsid w:val="00DB6F13"/>
    <w:pPr>
      <w:keepNext/>
      <w:keepLines/>
      <w:spacing w:before="140" w:after="180" w:line="240" w:lineRule="auto"/>
      <w:jc w:val="both"/>
      <w:outlineLvl w:val="1"/>
    </w:pPr>
    <w:rPr>
      <w:rFonts w:ascii="Arial" w:eastAsiaTheme="majorEastAsia" w:hAnsi="Arial" w:cstheme="majorBidi"/>
      <w:b/>
      <w:sz w:val="24"/>
      <w:szCs w:val="26"/>
    </w:rPr>
  </w:style>
  <w:style w:type="paragraph" w:styleId="Heading3">
    <w:name w:val="heading 3"/>
    <w:link w:val="Heading3Char"/>
    <w:uiPriority w:val="9"/>
    <w:unhideWhenUsed/>
    <w:qFormat/>
    <w:rsid w:val="00DB6F13"/>
    <w:pPr>
      <w:keepNext/>
      <w:keepLines/>
      <w:spacing w:before="140" w:after="180" w:line="240" w:lineRule="auto"/>
      <w:jc w:val="both"/>
      <w:outlineLvl w:val="2"/>
    </w:pPr>
    <w:rPr>
      <w:rFonts w:ascii="Arial" w:eastAsiaTheme="majorEastAsia" w:hAnsi="Arial" w:cstheme="majorBidi"/>
      <w:b/>
      <w:color w:val="00B0F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82947"/>
    <w:pPr>
      <w:ind w:left="720"/>
      <w:contextualSpacing/>
    </w:pPr>
    <w:rPr>
      <w:rFonts w:asciiTheme="minorHAnsi" w:eastAsiaTheme="minorHAnsi" w:hAnsiTheme="minorHAnsi" w:cstheme="minorBidi"/>
      <w:lang w:eastAsia="en-US"/>
    </w:rPr>
  </w:style>
  <w:style w:type="paragraph" w:customStyle="1" w:styleId="Number1">
    <w:name w:val="Number 1"/>
    <w:link w:val="Number1Char"/>
    <w:qFormat/>
    <w:rsid w:val="007F12DB"/>
    <w:pPr>
      <w:numPr>
        <w:numId w:val="1"/>
      </w:numPr>
      <w:spacing w:before="140" w:after="180" w:line="240" w:lineRule="auto"/>
      <w:ind w:left="426" w:hanging="426"/>
      <w:jc w:val="both"/>
    </w:pPr>
    <w:rPr>
      <w:rFonts w:ascii="Arial" w:hAnsi="Arial" w:cs="Arial"/>
      <w:sz w:val="20"/>
      <w:szCs w:val="20"/>
      <w:lang w:val="en-US"/>
    </w:rPr>
  </w:style>
  <w:style w:type="paragraph" w:customStyle="1" w:styleId="Number2">
    <w:name w:val="Number 2"/>
    <w:basedOn w:val="Number1"/>
    <w:link w:val="Number2Char"/>
    <w:qFormat/>
    <w:rsid w:val="007F12DB"/>
    <w:pPr>
      <w:numPr>
        <w:ilvl w:val="1"/>
      </w:numPr>
      <w:ind w:left="1134" w:hanging="573"/>
    </w:pPr>
  </w:style>
  <w:style w:type="character" w:customStyle="1" w:styleId="Number1Char">
    <w:name w:val="Number 1 Char"/>
    <w:basedOn w:val="DefaultParagraphFont"/>
    <w:link w:val="Number1"/>
    <w:rsid w:val="007F12DB"/>
    <w:rPr>
      <w:rFonts w:ascii="Arial" w:hAnsi="Arial" w:cs="Arial"/>
      <w:sz w:val="20"/>
      <w:szCs w:val="20"/>
      <w:lang w:val="en-US"/>
    </w:rPr>
  </w:style>
  <w:style w:type="paragraph" w:customStyle="1" w:styleId="Number3">
    <w:name w:val="Number 3"/>
    <w:basedOn w:val="Number2"/>
    <w:link w:val="Number3Char"/>
    <w:qFormat/>
    <w:rsid w:val="007F12DB"/>
    <w:pPr>
      <w:numPr>
        <w:ilvl w:val="2"/>
      </w:numPr>
      <w:ind w:left="1843" w:hanging="709"/>
    </w:pPr>
  </w:style>
  <w:style w:type="character" w:customStyle="1" w:styleId="Number2Char">
    <w:name w:val="Number 2 Char"/>
    <w:basedOn w:val="Number1Char"/>
    <w:link w:val="Number2"/>
    <w:rsid w:val="00DB6F13"/>
    <w:rPr>
      <w:rFonts w:ascii="Arial" w:hAnsi="Arial" w:cs="Arial"/>
      <w:sz w:val="20"/>
      <w:szCs w:val="20"/>
      <w:lang w:val="en-US"/>
    </w:rPr>
  </w:style>
  <w:style w:type="paragraph" w:customStyle="1" w:styleId="Body1">
    <w:name w:val="Body 1"/>
    <w:link w:val="Body1Char"/>
    <w:qFormat/>
    <w:rsid w:val="00DB6F13"/>
    <w:pPr>
      <w:spacing w:before="140" w:after="180" w:line="240" w:lineRule="auto"/>
      <w:jc w:val="both"/>
    </w:pPr>
    <w:rPr>
      <w:rFonts w:ascii="Arial" w:hAnsi="Arial" w:cs="Arial"/>
      <w:sz w:val="20"/>
      <w:szCs w:val="20"/>
      <w:lang w:val="en-US"/>
    </w:rPr>
  </w:style>
  <w:style w:type="character" w:customStyle="1" w:styleId="Number3Char">
    <w:name w:val="Number 3 Char"/>
    <w:basedOn w:val="Number2Char"/>
    <w:link w:val="Number3"/>
    <w:rsid w:val="007F12DB"/>
    <w:rPr>
      <w:rFonts w:ascii="Arial" w:hAnsi="Arial" w:cs="Arial"/>
      <w:sz w:val="20"/>
      <w:szCs w:val="20"/>
      <w:lang w:val="en-US"/>
    </w:rPr>
  </w:style>
  <w:style w:type="paragraph" w:styleId="Header">
    <w:name w:val="header"/>
    <w:link w:val="HeaderChar"/>
    <w:uiPriority w:val="99"/>
    <w:unhideWhenUsed/>
    <w:qFormat/>
    <w:rsid w:val="00D03552"/>
    <w:pPr>
      <w:tabs>
        <w:tab w:val="center" w:pos="4513"/>
        <w:tab w:val="right" w:pos="9026"/>
      </w:tabs>
      <w:spacing w:after="0" w:line="240" w:lineRule="auto"/>
    </w:pPr>
    <w:rPr>
      <w:rFonts w:ascii="Arial" w:hAnsi="Arial"/>
      <w:sz w:val="14"/>
      <w:szCs w:val="20"/>
    </w:rPr>
  </w:style>
  <w:style w:type="character" w:customStyle="1" w:styleId="Body1Char">
    <w:name w:val="Body 1 Char"/>
    <w:basedOn w:val="DefaultParagraphFont"/>
    <w:link w:val="Body1"/>
    <w:rsid w:val="00DB6F13"/>
    <w:rPr>
      <w:rFonts w:ascii="Arial" w:hAnsi="Arial" w:cs="Arial"/>
      <w:sz w:val="20"/>
      <w:szCs w:val="20"/>
      <w:lang w:val="en-US"/>
    </w:rPr>
  </w:style>
  <w:style w:type="character" w:customStyle="1" w:styleId="HeaderChar">
    <w:name w:val="Header Char"/>
    <w:basedOn w:val="DefaultParagraphFont"/>
    <w:link w:val="Header"/>
    <w:uiPriority w:val="99"/>
    <w:rsid w:val="00D03552"/>
    <w:rPr>
      <w:rFonts w:ascii="Arial" w:hAnsi="Arial"/>
      <w:sz w:val="14"/>
      <w:szCs w:val="20"/>
    </w:rPr>
  </w:style>
  <w:style w:type="paragraph" w:styleId="Footer">
    <w:name w:val="footer"/>
    <w:basedOn w:val="Normal"/>
    <w:link w:val="FooterChar"/>
    <w:uiPriority w:val="99"/>
    <w:unhideWhenUsed/>
    <w:rsid w:val="00382947"/>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82947"/>
  </w:style>
  <w:style w:type="paragraph" w:customStyle="1" w:styleId="Alpha1">
    <w:name w:val="Alpha 1"/>
    <w:link w:val="Alpha1Char"/>
    <w:qFormat/>
    <w:rsid w:val="00DB6F13"/>
    <w:pPr>
      <w:numPr>
        <w:numId w:val="3"/>
      </w:numPr>
      <w:spacing w:before="140" w:after="180" w:line="240" w:lineRule="auto"/>
      <w:ind w:left="567" w:hanging="425"/>
      <w:jc w:val="both"/>
    </w:pPr>
    <w:rPr>
      <w:rFonts w:ascii="Arial" w:hAnsi="Arial" w:cs="Arial"/>
      <w:sz w:val="20"/>
      <w:szCs w:val="20"/>
      <w:lang w:val="en-US"/>
    </w:rPr>
  </w:style>
  <w:style w:type="paragraph" w:customStyle="1" w:styleId="Bullet1">
    <w:name w:val="Bullet 1"/>
    <w:link w:val="Bullet1Char"/>
    <w:qFormat/>
    <w:rsid w:val="00DB6F13"/>
    <w:pPr>
      <w:numPr>
        <w:numId w:val="4"/>
      </w:numPr>
      <w:spacing w:before="140" w:after="180" w:line="240" w:lineRule="auto"/>
      <w:ind w:left="426" w:hanging="284"/>
      <w:jc w:val="both"/>
    </w:pPr>
    <w:rPr>
      <w:rFonts w:ascii="Arial" w:hAnsi="Arial" w:cs="Arial"/>
      <w:sz w:val="20"/>
      <w:szCs w:val="20"/>
      <w:lang w:val="en-US"/>
    </w:rPr>
  </w:style>
  <w:style w:type="character" w:customStyle="1" w:styleId="Alpha1Char">
    <w:name w:val="Alpha 1 Char"/>
    <w:basedOn w:val="DefaultParagraphFont"/>
    <w:link w:val="Alpha1"/>
    <w:rsid w:val="00DB6F13"/>
    <w:rPr>
      <w:rFonts w:ascii="Arial" w:hAnsi="Arial" w:cs="Arial"/>
      <w:sz w:val="20"/>
      <w:szCs w:val="20"/>
      <w:lang w:val="en-US"/>
    </w:rPr>
  </w:style>
  <w:style w:type="paragraph" w:customStyle="1" w:styleId="Bullet2">
    <w:name w:val="Bullet 2"/>
    <w:link w:val="Bullet2Char"/>
    <w:qFormat/>
    <w:rsid w:val="00D03552"/>
    <w:pPr>
      <w:numPr>
        <w:numId w:val="5"/>
      </w:numPr>
      <w:spacing w:before="140" w:after="180"/>
      <w:ind w:left="709" w:hanging="284"/>
      <w:jc w:val="both"/>
    </w:pPr>
    <w:rPr>
      <w:rFonts w:ascii="Arial" w:hAnsi="Arial" w:cs="Arial"/>
      <w:sz w:val="20"/>
      <w:szCs w:val="20"/>
      <w:lang w:val="en-US"/>
    </w:rPr>
  </w:style>
  <w:style w:type="character" w:customStyle="1" w:styleId="Bullet1Char">
    <w:name w:val="Bullet 1 Char"/>
    <w:basedOn w:val="DefaultParagraphFont"/>
    <w:link w:val="Bullet1"/>
    <w:rsid w:val="00DB6F13"/>
    <w:rPr>
      <w:rFonts w:ascii="Arial" w:hAnsi="Arial" w:cs="Arial"/>
      <w:sz w:val="20"/>
      <w:szCs w:val="20"/>
      <w:lang w:val="en-US"/>
    </w:rPr>
  </w:style>
  <w:style w:type="character" w:customStyle="1" w:styleId="Heading1Char">
    <w:name w:val="Heading 1 Char"/>
    <w:basedOn w:val="DefaultParagraphFont"/>
    <w:link w:val="Heading1"/>
    <w:uiPriority w:val="9"/>
    <w:rsid w:val="00DB6F13"/>
    <w:rPr>
      <w:rFonts w:ascii="Arial" w:eastAsiaTheme="majorEastAsia" w:hAnsi="Arial" w:cstheme="majorBidi"/>
      <w:b/>
      <w:color w:val="00B0F0"/>
      <w:sz w:val="28"/>
      <w:szCs w:val="32"/>
    </w:rPr>
  </w:style>
  <w:style w:type="character" w:customStyle="1" w:styleId="Bullet2Char">
    <w:name w:val="Bullet 2 Char"/>
    <w:basedOn w:val="DefaultParagraphFont"/>
    <w:link w:val="Bullet2"/>
    <w:rsid w:val="00D03552"/>
    <w:rPr>
      <w:rFonts w:ascii="Arial" w:hAnsi="Arial" w:cs="Arial"/>
      <w:sz w:val="20"/>
      <w:szCs w:val="20"/>
      <w:lang w:val="en-US"/>
    </w:rPr>
  </w:style>
  <w:style w:type="character" w:customStyle="1" w:styleId="Heading2Char">
    <w:name w:val="Heading 2 Char"/>
    <w:basedOn w:val="DefaultParagraphFont"/>
    <w:link w:val="Heading2"/>
    <w:uiPriority w:val="9"/>
    <w:rsid w:val="00DB6F13"/>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DB6F13"/>
    <w:rPr>
      <w:rFonts w:ascii="Arial" w:eastAsiaTheme="majorEastAsia" w:hAnsi="Arial" w:cstheme="majorBidi"/>
      <w:b/>
      <w:color w:val="00B0F0"/>
      <w:szCs w:val="24"/>
    </w:rPr>
  </w:style>
  <w:style w:type="paragraph" w:customStyle="1" w:styleId="Bullet3">
    <w:name w:val="Bullet 3"/>
    <w:link w:val="Bullet3Char"/>
    <w:qFormat/>
    <w:rsid w:val="0068434D"/>
    <w:pPr>
      <w:numPr>
        <w:ilvl w:val="1"/>
        <w:numId w:val="7"/>
      </w:numPr>
      <w:spacing w:before="140" w:after="180" w:line="240" w:lineRule="auto"/>
      <w:ind w:left="993" w:hanging="284"/>
      <w:jc w:val="both"/>
    </w:pPr>
    <w:rPr>
      <w:rFonts w:ascii="Arial" w:hAnsi="Arial" w:cs="Arial"/>
      <w:sz w:val="20"/>
      <w:szCs w:val="20"/>
      <w:lang w:val="en-US"/>
    </w:rPr>
  </w:style>
  <w:style w:type="paragraph" w:customStyle="1" w:styleId="Numeral1">
    <w:name w:val="Numeral 1"/>
    <w:link w:val="Numeral1Char"/>
    <w:qFormat/>
    <w:rsid w:val="0061476D"/>
    <w:pPr>
      <w:numPr>
        <w:numId w:val="8"/>
      </w:numPr>
      <w:spacing w:before="140" w:after="180" w:line="240" w:lineRule="auto"/>
      <w:ind w:left="567" w:hanging="283"/>
      <w:jc w:val="both"/>
    </w:pPr>
    <w:rPr>
      <w:rFonts w:ascii="Arial" w:hAnsi="Arial" w:cs="Arial"/>
      <w:sz w:val="20"/>
      <w:szCs w:val="20"/>
      <w:lang w:val="en-US"/>
    </w:rPr>
  </w:style>
  <w:style w:type="character" w:customStyle="1" w:styleId="Bullet3Char">
    <w:name w:val="Bullet 3 Char"/>
    <w:basedOn w:val="DefaultParagraphFont"/>
    <w:link w:val="Bullet3"/>
    <w:rsid w:val="0068434D"/>
    <w:rPr>
      <w:rFonts w:ascii="Arial" w:hAnsi="Arial" w:cs="Arial"/>
      <w:sz w:val="20"/>
      <w:szCs w:val="20"/>
      <w:lang w:val="en-US"/>
    </w:rPr>
  </w:style>
  <w:style w:type="paragraph" w:customStyle="1" w:styleId="Sign-off">
    <w:name w:val="Sign-off"/>
    <w:basedOn w:val="Body1"/>
    <w:link w:val="Sign-offChar"/>
    <w:qFormat/>
    <w:rsid w:val="003D559D"/>
    <w:pPr>
      <w:spacing w:before="0" w:after="0"/>
      <w:jc w:val="left"/>
    </w:pPr>
  </w:style>
  <w:style w:type="character" w:customStyle="1" w:styleId="Numeral1Char">
    <w:name w:val="Numeral 1 Char"/>
    <w:basedOn w:val="DefaultParagraphFont"/>
    <w:link w:val="Numeral1"/>
    <w:rsid w:val="0061476D"/>
    <w:rPr>
      <w:rFonts w:ascii="Arial" w:hAnsi="Arial" w:cs="Arial"/>
      <w:sz w:val="20"/>
      <w:szCs w:val="20"/>
      <w:lang w:val="en-US"/>
    </w:rPr>
  </w:style>
  <w:style w:type="paragraph" w:customStyle="1" w:styleId="Numeral2">
    <w:name w:val="Numeral 2"/>
    <w:basedOn w:val="Numeral1"/>
    <w:link w:val="Numeral2Char"/>
    <w:qFormat/>
    <w:rsid w:val="008842A8"/>
    <w:pPr>
      <w:numPr>
        <w:ilvl w:val="1"/>
        <w:numId w:val="14"/>
      </w:numPr>
      <w:ind w:left="1134" w:hanging="425"/>
    </w:pPr>
  </w:style>
  <w:style w:type="character" w:customStyle="1" w:styleId="Sign-offChar">
    <w:name w:val="Sign-off Char"/>
    <w:basedOn w:val="Body1Char"/>
    <w:link w:val="Sign-off"/>
    <w:rsid w:val="003D559D"/>
    <w:rPr>
      <w:rFonts w:ascii="Arial" w:hAnsi="Arial" w:cs="Arial"/>
      <w:sz w:val="20"/>
      <w:szCs w:val="20"/>
      <w:lang w:val="en-US"/>
    </w:rPr>
  </w:style>
  <w:style w:type="character" w:customStyle="1" w:styleId="Numeral2Char">
    <w:name w:val="Numeral 2 Char"/>
    <w:basedOn w:val="Numeral1Char"/>
    <w:link w:val="Numeral2"/>
    <w:rsid w:val="008842A8"/>
    <w:rPr>
      <w:rFonts w:ascii="Arial" w:hAnsi="Arial" w:cs="Arial"/>
      <w:sz w:val="20"/>
      <w:szCs w:val="20"/>
      <w:lang w:val="en-US"/>
    </w:rPr>
  </w:style>
  <w:style w:type="character" w:styleId="Hyperlink">
    <w:name w:val="Hyperlink"/>
    <w:basedOn w:val="DefaultParagraphFont"/>
    <w:uiPriority w:val="99"/>
    <w:unhideWhenUsed/>
    <w:rsid w:val="009D7A2E"/>
    <w:rPr>
      <w:color w:val="0563C1" w:themeColor="hyperlink"/>
      <w:u w:val="single"/>
    </w:rPr>
  </w:style>
  <w:style w:type="character" w:styleId="UnresolvedMention">
    <w:name w:val="Unresolved Mention"/>
    <w:basedOn w:val="DefaultParagraphFont"/>
    <w:uiPriority w:val="99"/>
    <w:semiHidden/>
    <w:unhideWhenUsed/>
    <w:rsid w:val="009D7A2E"/>
    <w:rPr>
      <w:color w:val="605E5C"/>
      <w:shd w:val="clear" w:color="auto" w:fill="E1DFDD"/>
    </w:rPr>
  </w:style>
  <w:style w:type="paragraph" w:styleId="Revision">
    <w:name w:val="Revision"/>
    <w:hidden/>
    <w:uiPriority w:val="99"/>
    <w:semiHidden/>
    <w:rsid w:val="003734F4"/>
    <w:pPr>
      <w:spacing w:after="0" w:line="240" w:lineRule="auto"/>
    </w:pPr>
    <w:rPr>
      <w:rFonts w:ascii="Calibri" w:eastAsia="Calibri" w:hAnsi="Calibri" w:cs="Calibri"/>
      <w:lang w:eastAsia="en-AU"/>
    </w:rPr>
  </w:style>
  <w:style w:type="character" w:styleId="CommentReference">
    <w:name w:val="annotation reference"/>
    <w:basedOn w:val="DefaultParagraphFont"/>
    <w:uiPriority w:val="99"/>
    <w:semiHidden/>
    <w:unhideWhenUsed/>
    <w:rsid w:val="0006269B"/>
    <w:rPr>
      <w:sz w:val="16"/>
      <w:szCs w:val="16"/>
    </w:rPr>
  </w:style>
  <w:style w:type="paragraph" w:styleId="CommentText">
    <w:name w:val="annotation text"/>
    <w:basedOn w:val="Normal"/>
    <w:link w:val="CommentTextChar"/>
    <w:uiPriority w:val="99"/>
    <w:unhideWhenUsed/>
    <w:rsid w:val="0006269B"/>
    <w:pPr>
      <w:spacing w:line="240" w:lineRule="auto"/>
    </w:pPr>
    <w:rPr>
      <w:sz w:val="20"/>
      <w:szCs w:val="20"/>
    </w:rPr>
  </w:style>
  <w:style w:type="character" w:customStyle="1" w:styleId="CommentTextChar">
    <w:name w:val="Comment Text Char"/>
    <w:basedOn w:val="DefaultParagraphFont"/>
    <w:link w:val="CommentText"/>
    <w:uiPriority w:val="99"/>
    <w:rsid w:val="0006269B"/>
    <w:rPr>
      <w:rFonts w:ascii="Calibri" w:eastAsia="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06269B"/>
    <w:rPr>
      <w:b/>
      <w:bCs/>
    </w:rPr>
  </w:style>
  <w:style w:type="character" w:customStyle="1" w:styleId="CommentSubjectChar">
    <w:name w:val="Comment Subject Char"/>
    <w:basedOn w:val="CommentTextChar"/>
    <w:link w:val="CommentSubject"/>
    <w:uiPriority w:val="99"/>
    <w:semiHidden/>
    <w:rsid w:val="0006269B"/>
    <w:rPr>
      <w:rFonts w:ascii="Calibri" w:eastAsia="Calibri" w:hAnsi="Calibri" w:cs="Calibr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e-australia.com.au/people/nick-goos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ore-australia.com.au" TargetMode="External"/><Relationship Id="rId17" Type="http://schemas.openxmlformats.org/officeDocument/2006/relationships/hyperlink" Target="https://www.acfe.com/-/media/files/acfe/pdfs/rttn/2024/2024-report-to-the-nations.pdf" TargetMode="External"/><Relationship Id="rId2" Type="http://schemas.openxmlformats.org/officeDocument/2006/relationships/customXml" Target="../customXml/item2.xml"/><Relationship Id="rId16" Type="http://schemas.openxmlformats.org/officeDocument/2006/relationships/hyperlink" Target="https://www.acf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fe.com/-/media/files/acfe/pdfs/rttn/2024/2024-report-to-the-nations.pdf" TargetMode="External"/><Relationship Id="rId5" Type="http://schemas.openxmlformats.org/officeDocument/2006/relationships/styles" Target="styles.xml"/><Relationship Id="rId15" Type="http://schemas.openxmlformats.org/officeDocument/2006/relationships/hyperlink" Target="http://www.moore-global.com" TargetMode="External"/><Relationship Id="rId10" Type="http://schemas.openxmlformats.org/officeDocument/2006/relationships/hyperlink" Target="https://www.acf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oore-austral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enaParsons\AppData\Local\Temp\Templafy\WordVsto\f32qeo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Moore Australia Template NF (1)","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2547-2404-4BBB-A54E-3D05203184B0}">
  <ds:schemaRefs/>
</ds:datastoreItem>
</file>

<file path=customXml/itemProps2.xml><?xml version="1.0" encoding="utf-8"?>
<ds:datastoreItem xmlns:ds="http://schemas.openxmlformats.org/officeDocument/2006/customXml" ds:itemID="{386AE9C7-581B-48B9-AEB0-02C184024B14}">
  <ds:schemaRefs/>
</ds:datastoreItem>
</file>

<file path=customXml/itemProps3.xml><?xml version="1.0" encoding="utf-8"?>
<ds:datastoreItem xmlns:ds="http://schemas.openxmlformats.org/officeDocument/2006/customXml" ds:itemID="{62B0ED27-5485-43F1-8356-A624E91F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f32qeoit</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2024-06-17T08:15:00Z</dcterms:created>
  <dcterms:modified xsi:type="dcterms:W3CDTF">2024-06-17T08:16:00Z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mooreaustralia</vt:lpwstr>
  </property>
  <property fmtid="{D5CDD505-2E9C-101B-9397-08002B2CF9AE}" pid="3" name="TemplafyTemplateId">
    <vt:lpwstr>638173881206144741</vt:lpwstr>
  </property>
  <property fmtid="{D5CDD505-2E9C-101B-9397-08002B2CF9AE}" pid="4" name="TemplafyUserProfileId">
    <vt:lpwstr>637807603886430976</vt:lpwstr>
  </property>
  <property fmtid="{D5CDD505-2E9C-101B-9397-08002B2CF9AE}" pid="5" name="TemplafyFromBlank">
    <vt:bool>true</vt:bool>
  </property>
</Properties>
</file>