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left"/>
        <w:rPr>
          <w:color w:val="000000"/>
          <w:sz w:val="24"/>
          <w:szCs w:val="24"/>
          <w:highlight w:val="white"/>
        </w:rPr>
      </w:pPr>
      <w:r w:rsidDel="00000000" w:rsidR="00000000" w:rsidRPr="00000000">
        <w:rPr>
          <w:color w:val="000000"/>
          <w:sz w:val="24"/>
          <w:szCs w:val="24"/>
          <w:highlight w:val="white"/>
          <w:rtl w:val="0"/>
        </w:rPr>
        <w:t xml:space="preserve">Cryptocurrency is now the newest and best class of digital assets introduced to the worldwide investing system, although it was initially designed as a decentralized alternative to the traditional and centralized financial systems. </w:t>
      </w:r>
    </w:p>
    <w:p w:rsidR="00000000" w:rsidDel="00000000" w:rsidP="00000000" w:rsidRDefault="00000000" w:rsidRPr="00000000" w14:paraId="00000002">
      <w:pPr>
        <w:widowControl w:val="1"/>
        <w:jc w:val="left"/>
        <w:rPr>
          <w:color w:val="000000"/>
          <w:sz w:val="24"/>
          <w:szCs w:val="24"/>
          <w:highlight w:val="white"/>
        </w:rPr>
      </w:pPr>
      <w:r w:rsidDel="00000000" w:rsidR="00000000" w:rsidRPr="00000000">
        <w:rPr>
          <w:rtl w:val="0"/>
        </w:rPr>
      </w:r>
    </w:p>
    <w:p w:rsidR="00000000" w:rsidDel="00000000" w:rsidP="00000000" w:rsidRDefault="00000000" w:rsidRPr="00000000" w14:paraId="00000003">
      <w:pPr>
        <w:widowControl w:val="1"/>
        <w:jc w:val="left"/>
        <w:rPr>
          <w:sz w:val="24"/>
          <w:szCs w:val="24"/>
        </w:rPr>
      </w:pPr>
      <w:r w:rsidDel="00000000" w:rsidR="00000000" w:rsidRPr="00000000">
        <w:rPr>
          <w:color w:val="000000"/>
          <w:sz w:val="24"/>
          <w:szCs w:val="24"/>
          <w:highlight w:val="white"/>
          <w:rtl w:val="0"/>
        </w:rPr>
        <w:t xml:space="preserve">Most of the people recognize cryptocurrency through the lens of Bitcoin, that was published as a whitepaper in 2009. </w:t>
      </w:r>
      <w:r w:rsidDel="00000000" w:rsidR="00000000" w:rsidRPr="00000000">
        <w:rPr>
          <w:color w:val="000000"/>
          <w:sz w:val="24"/>
          <w:szCs w:val="24"/>
          <w:rtl w:val="0"/>
        </w:rPr>
        <w:br w:type="textWrapping"/>
      </w:r>
      <w:r w:rsidDel="00000000" w:rsidR="00000000" w:rsidRPr="00000000">
        <w:rPr>
          <w:rtl w:val="0"/>
        </w:rPr>
      </w:r>
    </w:p>
    <w:p w:rsidR="00000000" w:rsidDel="00000000" w:rsidP="00000000" w:rsidRDefault="00000000" w:rsidRPr="00000000" w14:paraId="00000004">
      <w:pPr>
        <w:widowControl w:val="1"/>
        <w:jc w:val="left"/>
        <w:rPr>
          <w:color w:val="000000"/>
          <w:sz w:val="24"/>
          <w:szCs w:val="24"/>
          <w:highlight w:val="white"/>
        </w:rPr>
      </w:pPr>
      <w:bookmarkStart w:colFirst="0" w:colLast="0" w:name="_gjdgxs" w:id="0"/>
      <w:bookmarkEnd w:id="0"/>
      <w:r w:rsidDel="00000000" w:rsidR="00000000" w:rsidRPr="00000000">
        <w:rPr>
          <w:color w:val="000000"/>
          <w:sz w:val="24"/>
          <w:szCs w:val="24"/>
          <w:highlight w:val="white"/>
          <w:rtl w:val="0"/>
        </w:rPr>
        <w:t xml:space="preserve">In the actual situation, investors are now on the search for something more than just Bitcoin as a value driven coin. Looking at the future market trends, it is normal to consider other factors in order to make the best guess on which is the next booming crypto but the main focus is not on the pricing anymore because investors are now looking for functionality and supply of the digital currency. If a cryptocurrency is useful, it will overcome any obstacle and continue to grow and develop more and more.</w:t>
      </w:r>
    </w:p>
    <w:p w:rsidR="00000000" w:rsidDel="00000000" w:rsidP="00000000" w:rsidRDefault="00000000" w:rsidRPr="00000000" w14:paraId="00000005">
      <w:pPr>
        <w:widowControl w:val="1"/>
        <w:jc w:val="left"/>
        <w:rPr>
          <w:color w:val="000000"/>
          <w:sz w:val="24"/>
          <w:szCs w:val="24"/>
          <w:highlight w:val="white"/>
        </w:rPr>
      </w:pPr>
      <w:r w:rsidDel="00000000" w:rsidR="00000000" w:rsidRPr="00000000">
        <w:rPr>
          <w:rtl w:val="0"/>
        </w:rPr>
      </w:r>
    </w:p>
    <w:p w:rsidR="00000000" w:rsidDel="00000000" w:rsidP="00000000" w:rsidRDefault="00000000" w:rsidRPr="00000000" w14:paraId="00000006">
      <w:pPr>
        <w:widowControl w:val="1"/>
        <w:jc w:val="left"/>
        <w:rPr>
          <w:rFonts w:ascii="Times New Roman" w:cs="Times New Roman" w:eastAsia="Times New Roman" w:hAnsi="Times New Roman"/>
          <w:sz w:val="24"/>
          <w:szCs w:val="24"/>
        </w:rPr>
      </w:pPr>
      <w:r w:rsidDel="00000000" w:rsidR="00000000" w:rsidRPr="00000000">
        <w:rPr>
          <w:color w:val="000000"/>
          <w:sz w:val="24"/>
          <w:szCs w:val="24"/>
          <w:highlight w:val="white"/>
          <w:rtl w:val="0"/>
        </w:rPr>
        <w:t xml:space="preserve">Lately, a lot celebrities started winning big by making investments in crypto currencies and digital assests. </w:t>
      </w:r>
      <w:r w:rsidDel="00000000" w:rsidR="00000000" w:rsidRPr="00000000">
        <w:rPr>
          <w:color w:val="202124"/>
          <w:sz w:val="24"/>
          <w:szCs w:val="24"/>
          <w:highlight w:val="white"/>
          <w:rtl w:val="0"/>
        </w:rPr>
        <w:t xml:space="preserve">Some of them are Elon Musk, Paris Hilton, Gwyneth Paltrow, Bill Gates, Floyd Mayweather, Kanye West, and Mike Tyson.</w:t>
      </w:r>
      <w:r w:rsidDel="00000000" w:rsidR="00000000" w:rsidRPr="00000000">
        <w:rPr>
          <w:rFonts w:ascii="Arial" w:cs="Arial" w:eastAsia="Arial" w:hAnsi="Arial"/>
          <w:color w:val="000000"/>
          <w:sz w:val="18"/>
          <w:szCs w:val="18"/>
          <w:rtl w:val="0"/>
        </w:rPr>
        <w:br w:type="textWrapping"/>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ADCX：The Entrance to the Future DeFi World</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decentralized finance sector (DeFi) has exploded in popularity in 2020. The prospect of turning crypto-currency such as Ethereum into personal banking platforms rapidly gained momentum. Even more dazzling was the promise of applying similar principles to the corporate world to allow corporations to monetize things that they have never been able to.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this context, Decentralized exchanges (DEX) were a particularly bright spot, as facilitating peer-to-peer trading by relying on automated smart contracts helped traders swap cryptocurrencies quickly and with minimal fees.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Fonts w:ascii="Georgia" w:cs="Georgia" w:eastAsia="Georgia" w:hAnsi="Georgia"/>
          <w:b w:val="1"/>
          <w:i w:val="0"/>
          <w:smallCaps w:val="0"/>
          <w:strike w:val="0"/>
          <w:color w:val="000000"/>
          <w:sz w:val="31"/>
          <w:szCs w:val="31"/>
          <w:highlight w:val="white"/>
          <w:u w:val="none"/>
          <w:vertAlign w:val="baseline"/>
          <w:rtl w:val="0"/>
        </w:rPr>
        <w:t xml:space="preserve">Introduction To ADCX – </w:t>
      </w:r>
      <w:hyperlink r:id="rId6">
        <w:r w:rsidDel="00000000" w:rsidR="00000000" w:rsidRPr="00000000">
          <w:rPr>
            <w:rFonts w:ascii="Georgia" w:cs="Georgia" w:eastAsia="Georgia" w:hAnsi="Georgia"/>
            <w:b w:val="0"/>
            <w:i w:val="0"/>
            <w:smallCaps w:val="0"/>
            <w:strike w:val="0"/>
            <w:color w:val="0563c1"/>
            <w:sz w:val="31"/>
            <w:szCs w:val="31"/>
            <w:highlight w:val="white"/>
            <w:u w:val="single"/>
            <w:vertAlign w:val="baseline"/>
            <w:rtl w:val="0"/>
          </w:rPr>
          <w:t xml:space="preserve">Australian international Digital Currency Exchange</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ADCX is a cross-chain asset exchange protocol based on the Ethereum Network. It is mainly used in NFT asset mortgage lending and NFT liquidity mining. A DeFi financial system incorporating DeFi+DAO+NFT+Cross-chain technology has been designed to provide services such as issuing, trading various assets and liquidity mining (e.g., DeFi, NFT, token trading strategies) through the ADCX protocol.</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94949"/>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ADCX team has acquired a digital currency exchange license from the Australian Government. Members of the team, mainly from Australia, Canada and Japan, are innovators in DeFi. Technical backbone are professional DApp developers, adhering to the technology-based, relying on the strength of capital and community, aiming to build ADCX into a comprehensive cross-chain financial platform, opening a new chapter in DeFi.</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Fonts w:ascii="Georgia" w:cs="Georgia" w:eastAsia="Georgia" w:hAnsi="Georgia"/>
          <w:b w:val="1"/>
          <w:i w:val="0"/>
          <w:smallCaps w:val="0"/>
          <w:strike w:val="0"/>
          <w:color w:val="000000"/>
          <w:sz w:val="31"/>
          <w:szCs w:val="31"/>
          <w:highlight w:val="white"/>
          <w:u w:val="none"/>
          <w:vertAlign w:val="baseline"/>
          <w:rtl w:val="0"/>
        </w:rPr>
        <w:t xml:space="preserve">What is NFT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NFT stands for Non-Fungible</w:t>
      </w:r>
      <w:r w:rsidDel="00000000" w:rsidR="00000000" w:rsidRPr="00000000">
        <w:rPr>
          <w:rFonts w:ascii="Helvetica Neue" w:cs="Helvetica Neue" w:eastAsia="Helvetica Neue" w:hAnsi="Helvetica Neue"/>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Token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it is the relative concept of functional token (FT). The biggest difference between the two lies in "unique" and "divisible", which makes NFT more flexible. It is more suitable for benchmarking assets in the real world - after all, the evolution of civilization has made all things have different descriptions. Even a mass-produced consumer goods will have different production dates and inkjet codes.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2021, the rise of DeFi pushed NFT to the forefront again. DeFi + NFT provides a return education for the market, and also makes many people 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ink the more valuable future of NFT’s that</w:t>
      </w:r>
      <w:r w:rsidDel="00000000" w:rsidR="00000000" w:rsidRPr="00000000">
        <w:rPr>
          <w:rFonts w:ascii="Helvetica Neue" w:cs="Helvetica Neue" w:eastAsia="Helvetica Neue" w:hAnsi="Helvetica Neue"/>
          <w:b w:val="0"/>
          <w:i w:val="0"/>
          <w:smallCaps w:val="0"/>
          <w:strike w:val="0"/>
          <w:color w:val="3f3f42"/>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are a "one-of-a-kind" assets in the digital world and can be bought and sold like any other piece of property, but they have no tangible form of their own. In other words, it is like owning a “digital original Monsa Lisa painting”, fact that makes many art collectors turn their attention to NFT’s.</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Fonts w:ascii="Georgia" w:cs="Georgia" w:eastAsia="Georgia" w:hAnsi="Georgia"/>
          <w:b w:val="1"/>
          <w:i w:val="0"/>
          <w:smallCaps w:val="0"/>
          <w:strike w:val="0"/>
          <w:color w:val="000000"/>
          <w:sz w:val="31"/>
          <w:szCs w:val="31"/>
          <w:highlight w:val="white"/>
          <w:u w:val="none"/>
          <w:vertAlign w:val="baseline"/>
          <w:rtl w:val="0"/>
        </w:rPr>
        <w:t xml:space="preserve">DeFi + NFT Design Idea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ADCX believes that NFTs provide more casting possibilities for DeFi scenarios. When NFT needs acceptance value, DeFi and NFT have a natural blending attribute. The current dilemma for NFT is liquidity and value.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liquidity of NFT requires some agreements with financial product design to help it develop, DeFi can give NFT more value. For example, in ADCX ecology, users can obtain Tokens in ADCX through mining such as lock-in mainstream currencies.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NFT can unlock more potential through DeFi. Currently, most DeFi lending agreements require collateral. Use NFT as collateral. This means that NFTs representing artwork, digital land, or even tokenized property can be used as collateral and then lent to other assets.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0"/>
          <w:i w:val="0"/>
          <w:smallCaps w:val="0"/>
          <w:strike w:val="0"/>
          <w:color w:val="000000"/>
          <w:sz w:val="31"/>
          <w:szCs w:val="31"/>
          <w:u w:val="none"/>
          <w:shd w:fill="auto" w:val="clear"/>
          <w:vertAlign w:val="baseline"/>
        </w:rPr>
      </w:pPr>
      <w:r w:rsidDel="00000000" w:rsidR="00000000" w:rsidRPr="00000000">
        <w:rPr>
          <w:rFonts w:ascii="Georgia" w:cs="Georgia" w:eastAsia="Georgia" w:hAnsi="Georgia"/>
          <w:b w:val="1"/>
          <w:i w:val="0"/>
          <w:smallCaps w:val="0"/>
          <w:strike w:val="0"/>
          <w:color w:val="000000"/>
          <w:sz w:val="31"/>
          <w:szCs w:val="31"/>
          <w:highlight w:val="white"/>
          <w:u w:val="none"/>
          <w:vertAlign w:val="baseline"/>
          <w:rtl w:val="0"/>
        </w:rPr>
        <w:t xml:space="preserve">ADCX Design Intent</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future, ADCX deployed on each blockchain platform will contain fund pools designated by Pair Contracts transacted in ADCX. Each Pair Contract has three components:</w:t>
      </w:r>
    </w:p>
    <w:p w:rsidR="00000000" w:rsidDel="00000000" w:rsidP="00000000" w:rsidRDefault="00000000" w:rsidRPr="00000000" w14:paraId="00000023">
      <w:pPr>
        <w:widowControl w:val="1"/>
        <w:numPr>
          <w:ilvl w:val="0"/>
          <w:numId w:val="1"/>
        </w:numPr>
        <w:ind w:left="720" w:hanging="360"/>
        <w:jc w:val="left"/>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Order Book - stores non-tradable limit order transactions;</w:t>
      </w:r>
    </w:p>
    <w:p w:rsidR="00000000" w:rsidDel="00000000" w:rsidP="00000000" w:rsidRDefault="00000000" w:rsidRPr="00000000" w14:paraId="00000024">
      <w:pPr>
        <w:widowControl w:val="1"/>
        <w:numPr>
          <w:ilvl w:val="0"/>
          <w:numId w:val="1"/>
        </w:numPr>
        <w:ind w:left="720" w:hanging="360"/>
        <w:jc w:val="left"/>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CPMM Model - constant product marketer that provides Pair Contract liquidity;</w:t>
      </w:r>
    </w:p>
    <w:p w:rsidR="00000000" w:rsidDel="00000000" w:rsidP="00000000" w:rsidRDefault="00000000" w:rsidRPr="00000000" w14:paraId="00000025">
      <w:pPr>
        <w:widowControl w:val="1"/>
        <w:numPr>
          <w:ilvl w:val="0"/>
          <w:numId w:val="1"/>
        </w:numPr>
        <w:ind w:left="720" w:hanging="360"/>
        <w:jc w:val="left"/>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Equity Token - records liquidity provider interests.</w:t>
      </w:r>
    </w:p>
    <w:p w:rsidR="00000000" w:rsidDel="00000000" w:rsidP="00000000" w:rsidRDefault="00000000" w:rsidRPr="00000000" w14:paraId="00000026">
      <w:pPr>
        <w:widowControl w:val="1"/>
        <w:ind w:left="360" w:firstLine="0"/>
        <w:jc w:val="left"/>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ADCX's NFT Project ecosystem will also be presented in Q2 2021. Here are the highlights:</w:t>
      </w:r>
    </w:p>
    <w:p w:rsidR="00000000" w:rsidDel="00000000" w:rsidP="00000000" w:rsidRDefault="00000000" w:rsidRPr="00000000" w14:paraId="00000028">
      <w:pPr>
        <w:widowControl w:val="1"/>
        <w:numPr>
          <w:ilvl w:val="0"/>
          <w:numId w:val="2"/>
        </w:numPr>
        <w:ind w:left="720" w:hanging="360"/>
        <w:jc w:val="left"/>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Under-Chain Transactions - we can improve under-Chain Transactions while implementing them; </w:t>
      </w:r>
    </w:p>
    <w:p w:rsidR="00000000" w:rsidDel="00000000" w:rsidP="00000000" w:rsidRDefault="00000000" w:rsidRPr="00000000" w14:paraId="00000029">
      <w:pPr>
        <w:widowControl w:val="1"/>
        <w:numPr>
          <w:ilvl w:val="0"/>
          <w:numId w:val="2"/>
        </w:numPr>
        <w:ind w:left="720" w:hanging="360"/>
        <w:jc w:val="left"/>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Cross-Chain Asset Capabilities - we will use Parachains on Polkadot (Parallel Chain) to achieve agreement to increase the number of assets supported with cross-chain compatibility; </w:t>
      </w:r>
    </w:p>
    <w:p w:rsidR="00000000" w:rsidDel="00000000" w:rsidP="00000000" w:rsidRDefault="00000000" w:rsidRPr="00000000" w14:paraId="0000002A">
      <w:pPr>
        <w:widowControl w:val="1"/>
        <w:numPr>
          <w:ilvl w:val="0"/>
          <w:numId w:val="2"/>
        </w:numPr>
        <w:ind w:left="720" w:hanging="360"/>
        <w:jc w:val="left"/>
        <w:rPr>
          <w:rFonts w:ascii="Calibri" w:cs="Calibri" w:eastAsia="Calibri" w:hAnsi="Calibri"/>
          <w:color w:val="000000"/>
        </w:rPr>
      </w:pPr>
      <w:r w:rsidDel="00000000" w:rsidR="00000000" w:rsidRPr="00000000">
        <w:rPr>
          <w:rFonts w:ascii="Calibri" w:cs="Calibri" w:eastAsia="Calibri" w:hAnsi="Calibri"/>
          <w:color w:val="000000"/>
          <w:sz w:val="24"/>
          <w:szCs w:val="24"/>
          <w:rtl w:val="0"/>
        </w:rPr>
        <w:t xml:space="preserve">a variety of unique types of asset transactions - including a licensing trading strategy, a de-centralized NFT asset trading aggregation tool, revenue generation strategies, future financial strategies, and so on.</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280" w:before="420" w:line="240" w:lineRule="auto"/>
        <w:ind w:left="0" w:right="0" w:firstLine="0"/>
        <w:jc w:val="both"/>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Fonts w:ascii="Georgia" w:cs="Georgia" w:eastAsia="Georgia" w:hAnsi="Georgia"/>
          <w:b w:val="1"/>
          <w:i w:val="0"/>
          <w:smallCaps w:val="0"/>
          <w:strike w:val="0"/>
          <w:color w:val="000000"/>
          <w:sz w:val="31"/>
          <w:szCs w:val="31"/>
          <w:highlight w:val="white"/>
          <w:u w:val="none"/>
          <w:vertAlign w:val="baseline"/>
          <w:rtl w:val="0"/>
        </w:rPr>
        <w:t xml:space="preserve">Introduction To ADCX Fund</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ADCX (</w:t>
        </w:r>
      </w:hyperlink>
      <w:hyperlink r:id="rId8">
        <w:r w:rsidDel="00000000" w:rsidR="00000000" w:rsidRPr="00000000">
          <w:rPr>
            <w:rFonts w:ascii="Calibri" w:cs="Calibri" w:eastAsia="Calibri" w:hAnsi="Calibri"/>
            <w:b w:val="0"/>
            <w:i w:val="0"/>
            <w:smallCaps w:val="0"/>
            <w:strike w:val="0"/>
            <w:color w:val="0563c1"/>
            <w:sz w:val="24"/>
            <w:szCs w:val="24"/>
            <w:highlight w:val="white"/>
            <w:u w:val="single"/>
            <w:vertAlign w:val="baseline"/>
            <w:rtl w:val="0"/>
          </w:rPr>
          <w:t xml:space="preserve">Australian international Digital Currency Exchange</w:t>
        </w:r>
      </w:hyperlink>
      <w:hyperlink r:id="rId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 )</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fund was established in 2015 and was awarded the digital currency exchange by the Australian government in the same year (Registration Number: DEC100579157-001). It is the first venture capital enterprise in Australia to focus on investing in blockchain technology related enterprises.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94949"/>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Currently, the foundation has conducted research and investment in many fields of blockchain industry, involving layer2, NFT, cryptocurrency derivatives trading, Polkadot ecology, etc. In the near future, the foundation will continue to pay attention to the ecological development of NFT, covering the fields of comprehensive trading platform, encryption art platform, trendy play collection, games, virtual world, domain name, social networking, NFT + DeFi, project startup platform, etc.</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foundation is managed by professionals. As a non-profit organization, it undertakes the responsibilities of investor education, risk warning, information disclosure, blockchain technology project review, blockchain technical personnel training, technical personnel qualification identification, and capital use supervision. The foundation firmly believes that blockchain technology will play a more important role in the future, bringing more transparency, higher efficiency and safer environment to the global economy.</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31"/>
          <w:szCs w:val="31"/>
          <w:highlight w:val="white"/>
          <w:u w:val="none"/>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280" w:before="420" w:line="240" w:lineRule="auto"/>
        <w:ind w:left="0" w:right="0" w:firstLine="0"/>
        <w:jc w:val="both"/>
        <w:rPr>
          <w:rFonts w:ascii="Georgia" w:cs="Georgia" w:eastAsia="Georgia" w:hAnsi="Georgia"/>
          <w:b w:val="0"/>
          <w:i w:val="0"/>
          <w:smallCaps w:val="0"/>
          <w:strike w:val="0"/>
          <w:color w:val="000000"/>
          <w:sz w:val="31"/>
          <w:szCs w:val="31"/>
          <w:u w:val="none"/>
          <w:shd w:fill="auto" w:val="clear"/>
          <w:vertAlign w:val="baseline"/>
        </w:rPr>
      </w:pPr>
      <w:r w:rsidDel="00000000" w:rsidR="00000000" w:rsidRPr="00000000">
        <w:rPr>
          <w:rFonts w:ascii="Georgia" w:cs="Georgia" w:eastAsia="Georgia" w:hAnsi="Georgia"/>
          <w:b w:val="1"/>
          <w:i w:val="0"/>
          <w:smallCaps w:val="0"/>
          <w:strike w:val="0"/>
          <w:color w:val="000000"/>
          <w:sz w:val="31"/>
          <w:szCs w:val="31"/>
          <w:highlight w:val="white"/>
          <w:u w:val="none"/>
          <w:vertAlign w:val="baseline"/>
          <w:rtl w:val="0"/>
        </w:rPr>
        <w:t xml:space="preserve">ADCX Development Plan</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ADCX contract codes will be reviewed by reputable agencies to ensure maximum security compliance. In addition to sound design and secure contract, good user experience is also the key factor for the successful operation of any DeFi project. In order to improve user experience, the ADCX team makes efforts in wallet support, interaction design, token management and transaction services.</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ADCX uses Layer 2 switches to improve DeFi liquidity and asset diversity. In addition, the Polkadot ecosystem provides future-proof flexibility and cross-chain asset support. We expect innovative financial products to be built (and seamlessly integrated) on this underlying ecosystem, increasing liquidity and ADCX usage.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9494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basic functionality support, the ADCX team will closely track progress in the DeFi field and support additional DeFi protocols in the ADCX Wallet in a timely manner. With the support of ADCX Wallet, ADCX platform is committed to become the entrance to the future DeFi world.</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2e2e"/>
          <w:sz w:val="24"/>
          <w:szCs w:val="24"/>
          <w:highlight w:val="white"/>
          <w:u w:val="none"/>
          <w:vertAlign w:val="baseline"/>
        </w:rPr>
      </w:pPr>
      <w:r w:rsidDel="00000000" w:rsidR="00000000" w:rsidRPr="00000000">
        <w:rPr>
          <w:rFonts w:ascii="Calibri" w:cs="Calibri" w:eastAsia="Calibri" w:hAnsi="Calibri"/>
          <w:b w:val="0"/>
          <w:i w:val="0"/>
          <w:smallCaps w:val="0"/>
          <w:strike w:val="0"/>
          <w:color w:val="2e2e2e"/>
          <w:sz w:val="24"/>
          <w:szCs w:val="24"/>
          <w:highlight w:val="white"/>
          <w:u w:val="none"/>
          <w:vertAlign w:val="baseline"/>
          <w:rtl w:val="0"/>
        </w:rPr>
        <w:t xml:space="preserve">ADCX will leverage blockchain in order to provide the perfect working ecosystem for fund raising strategies and trading digital assets.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2e2e"/>
          <w:sz w:val="24"/>
          <w:szCs w:val="24"/>
          <w:highlight w:val="white"/>
          <w:u w:val="none"/>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crypto industry is evolving at an incredible speed, and ADCX is one to definitely watch for future developments. You can visit ADCX – Australian international Digital Currency Exchange at www.adcx.com.au</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9494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280" w:before="420" w:line="240" w:lineRule="auto"/>
        <w:ind w:left="0" w:right="0" w:firstLine="0"/>
        <w:jc w:val="both"/>
        <w:rPr>
          <w:rFonts w:ascii="Georgia" w:cs="Georgia" w:eastAsia="Georgia" w:hAnsi="Georgia"/>
          <w:b w:val="0"/>
          <w:i w:val="0"/>
          <w:smallCaps w:val="0"/>
          <w:strike w:val="0"/>
          <w:color w:val="000000"/>
          <w:sz w:val="31"/>
          <w:szCs w:val="31"/>
          <w:u w:val="none"/>
          <w:shd w:fill="auto" w:val="clear"/>
          <w:vertAlign w:val="baseline"/>
        </w:rPr>
      </w:pPr>
      <w:r w:rsidDel="00000000" w:rsidR="00000000" w:rsidRPr="00000000">
        <w:rPr>
          <w:rFonts w:ascii="Georgia" w:cs="Georgia" w:eastAsia="Georgia" w:hAnsi="Georgia"/>
          <w:b w:val="0"/>
          <w:i w:val="0"/>
          <w:smallCaps w:val="0"/>
          <w:strike w:val="0"/>
          <w:color w:val="000000"/>
          <w:sz w:val="31"/>
          <w:szCs w:val="31"/>
          <w:highlight w:val="white"/>
          <w:u w:val="none"/>
          <w:vertAlign w:val="baseline"/>
          <w:rtl w:val="0"/>
        </w:rPr>
        <w:t xml:space="preserve">Twitter: twitter.com/ADCX_AU</w:t>
      </w: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sz w:val="24"/>
        <w:szCs w:val="24"/>
      </w:rPr>
    </w:lvl>
    <w:lvl w:ilvl="3">
      <w:start w:val="1"/>
      <w:numFmt w:val="decimal"/>
      <w:lvlText w:val="%4."/>
      <w:lvlJc w:val="left"/>
      <w:pPr>
        <w:ind w:left="2880" w:hanging="360"/>
      </w:pPr>
      <w:rPr>
        <w:sz w:val="24"/>
        <w:szCs w:val="24"/>
      </w:rPr>
    </w:lvl>
    <w:lvl w:ilvl="4">
      <w:start w:val="1"/>
      <w:numFmt w:val="decimal"/>
      <w:lvlText w:val="%5."/>
      <w:lvlJc w:val="left"/>
      <w:pPr>
        <w:ind w:left="3600" w:hanging="360"/>
      </w:pPr>
      <w:rPr>
        <w:sz w:val="24"/>
        <w:szCs w:val="24"/>
      </w:rPr>
    </w:lvl>
    <w:lvl w:ilvl="5">
      <w:start w:val="1"/>
      <w:numFmt w:val="decimal"/>
      <w:lvlText w:val="%6."/>
      <w:lvlJc w:val="left"/>
      <w:pPr>
        <w:ind w:left="4320" w:hanging="360"/>
      </w:pPr>
      <w:rPr>
        <w:sz w:val="24"/>
        <w:szCs w:val="24"/>
      </w:rPr>
    </w:lvl>
    <w:lvl w:ilvl="6">
      <w:start w:val="1"/>
      <w:numFmt w:val="decimal"/>
      <w:lvlText w:val="%7."/>
      <w:lvlJc w:val="left"/>
      <w:pPr>
        <w:ind w:left="5040" w:hanging="360"/>
      </w:pPr>
      <w:rPr>
        <w:sz w:val="24"/>
        <w:szCs w:val="24"/>
      </w:rPr>
    </w:lvl>
    <w:lvl w:ilvl="7">
      <w:start w:val="1"/>
      <w:numFmt w:val="decimal"/>
      <w:lvlText w:val="%8."/>
      <w:lvlJc w:val="left"/>
      <w:pPr>
        <w:ind w:left="5760" w:hanging="360"/>
      </w:pPr>
      <w:rPr>
        <w:sz w:val="24"/>
        <w:szCs w:val="24"/>
      </w:rPr>
    </w:lvl>
    <w:lvl w:ilvl="8">
      <w:start w:val="1"/>
      <w:numFmt w:val="decimal"/>
      <w:lvlText w:val="%9."/>
      <w:lvlJc w:val="left"/>
      <w:pPr>
        <w:ind w:left="6480" w:hanging="360"/>
      </w:pPr>
      <w:rPr>
        <w:sz w:val="24"/>
        <w:szCs w:val="24"/>
      </w:rPr>
    </w:lvl>
  </w:abstractNum>
  <w:abstractNum w:abstractNumId="2">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sz w:val="24"/>
        <w:szCs w:val="24"/>
      </w:rPr>
    </w:lvl>
    <w:lvl w:ilvl="3">
      <w:start w:val="1"/>
      <w:numFmt w:val="decimal"/>
      <w:lvlText w:val="%4."/>
      <w:lvlJc w:val="left"/>
      <w:pPr>
        <w:ind w:left="2880" w:hanging="360"/>
      </w:pPr>
      <w:rPr>
        <w:sz w:val="24"/>
        <w:szCs w:val="24"/>
      </w:rPr>
    </w:lvl>
    <w:lvl w:ilvl="4">
      <w:start w:val="1"/>
      <w:numFmt w:val="decimal"/>
      <w:lvlText w:val="%5."/>
      <w:lvlJc w:val="left"/>
      <w:pPr>
        <w:ind w:left="3600" w:hanging="360"/>
      </w:pPr>
      <w:rPr>
        <w:sz w:val="24"/>
        <w:szCs w:val="24"/>
      </w:rPr>
    </w:lvl>
    <w:lvl w:ilvl="5">
      <w:start w:val="1"/>
      <w:numFmt w:val="decimal"/>
      <w:lvlText w:val="%6."/>
      <w:lvlJc w:val="left"/>
      <w:pPr>
        <w:ind w:left="4320" w:hanging="360"/>
      </w:pPr>
      <w:rPr>
        <w:sz w:val="24"/>
        <w:szCs w:val="24"/>
      </w:rPr>
    </w:lvl>
    <w:lvl w:ilvl="6">
      <w:start w:val="1"/>
      <w:numFmt w:val="decimal"/>
      <w:lvlText w:val="%7."/>
      <w:lvlJc w:val="left"/>
      <w:pPr>
        <w:ind w:left="5040" w:hanging="360"/>
      </w:pPr>
      <w:rPr>
        <w:sz w:val="24"/>
        <w:szCs w:val="24"/>
      </w:rPr>
    </w:lvl>
    <w:lvl w:ilvl="7">
      <w:start w:val="1"/>
      <w:numFmt w:val="decimal"/>
      <w:lvlText w:val="%8."/>
      <w:lvlJc w:val="left"/>
      <w:pPr>
        <w:ind w:left="5760" w:hanging="360"/>
      </w:pPr>
      <w:rPr>
        <w:sz w:val="24"/>
        <w:szCs w:val="24"/>
      </w:rPr>
    </w:lvl>
    <w:lvl w:ilvl="8">
      <w:start w:val="1"/>
      <w:numFmt w:val="decimal"/>
      <w:lvlText w:val="%9."/>
      <w:lvlJc w:val="left"/>
      <w:pPr>
        <w:ind w:left="6480" w:hanging="360"/>
      </w:pPr>
      <w:rPr>
        <w:sz w:val="24"/>
        <w:szCs w:val="24"/>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acx.com.au/" TargetMode="External"/><Relationship Id="rId5" Type="http://schemas.openxmlformats.org/officeDocument/2006/relationships/styles" Target="styles.xml"/><Relationship Id="rId6" Type="http://schemas.openxmlformats.org/officeDocument/2006/relationships/hyperlink" Target="https://www.adacx.com.au/" TargetMode="External"/><Relationship Id="rId7" Type="http://schemas.openxmlformats.org/officeDocument/2006/relationships/hyperlink" Target="https://www.adacx.com.au/" TargetMode="External"/><Relationship Id="rId8" Type="http://schemas.openxmlformats.org/officeDocument/2006/relationships/hyperlink" Target="https://www.adacx.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