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C2AD" w14:textId="0F38F8C5" w:rsidR="00C823A3" w:rsidRDefault="00C823A3" w:rsidP="00BC7F93">
      <w:r w:rsidRPr="009B603F">
        <w:rPr>
          <w:noProof/>
          <w:sz w:val="22"/>
          <w:szCs w:val="22"/>
        </w:rPr>
        <w:drawing>
          <wp:inline distT="0" distB="0" distL="0" distR="0" wp14:anchorId="17AC461B" wp14:editId="470A378D">
            <wp:extent cx="2457450" cy="633557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17" cy="64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8D7D3" w14:textId="0B895655" w:rsidR="0096799C" w:rsidRDefault="009B603F" w:rsidP="00BC7F93">
      <w:r>
        <w:t>26/02/2025</w:t>
      </w:r>
    </w:p>
    <w:p w14:paraId="30B8DE78" w14:textId="5D8BF36E" w:rsidR="0096480B" w:rsidRDefault="00BC7F93" w:rsidP="0096480B">
      <w:r>
        <w:t>FOR IMMEDIATE RELEASE</w:t>
      </w:r>
    </w:p>
    <w:p w14:paraId="2B64238B" w14:textId="7BE6C471" w:rsidR="002B36D5" w:rsidRPr="009B603F" w:rsidRDefault="002B36D5" w:rsidP="002B36D5">
      <w:pPr>
        <w:pStyle w:val="NormalWeb"/>
        <w:jc w:val="center"/>
        <w:rPr>
          <w:rFonts w:ascii="Calibri" w:eastAsiaTheme="majorEastAsia" w:hAnsi="Calibri" w:cs="Calibri"/>
          <w:b/>
          <w:bCs/>
          <w:color w:val="0E101A"/>
        </w:rPr>
      </w:pPr>
      <w:r w:rsidRPr="009B603F">
        <w:rPr>
          <w:rFonts w:ascii="Calibri" w:eastAsiaTheme="majorEastAsia" w:hAnsi="Calibri" w:cs="Calibri"/>
          <w:b/>
          <w:bCs/>
          <w:color w:val="0E101A"/>
        </w:rPr>
        <w:t>National Roundtable</w:t>
      </w:r>
      <w:r>
        <w:rPr>
          <w:rFonts w:ascii="Calibri" w:eastAsiaTheme="majorEastAsia" w:hAnsi="Calibri" w:cs="Calibri"/>
          <w:b/>
          <w:bCs/>
          <w:color w:val="0E101A"/>
        </w:rPr>
        <w:t xml:space="preserve"> to Save School Canteens</w:t>
      </w:r>
      <w:r w:rsidRPr="009B603F">
        <w:rPr>
          <w:rFonts w:ascii="Calibri" w:eastAsiaTheme="majorEastAsia" w:hAnsi="Calibri" w:cs="Calibri"/>
          <w:b/>
          <w:bCs/>
          <w:color w:val="0E101A"/>
        </w:rPr>
        <w:t xml:space="preserve"> Highlights Urgent Need for Systemic Support</w:t>
      </w:r>
    </w:p>
    <w:p w14:paraId="0942B559" w14:textId="78F8C263" w:rsidR="009B603F" w:rsidRPr="009B603F" w:rsidRDefault="009B603F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The Federation of Canteens in Schools National Roundtable has brought together voices 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 xml:space="preserve">from 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across Australia to address the pressing challenges and opportunities facing school canteens. 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>On February 25, over 90 stakeholders</w:t>
      </w:r>
      <w:r w:rsidR="00FF3592">
        <w:rPr>
          <w:rFonts w:ascii="Calibri" w:eastAsiaTheme="majorEastAsia" w:hAnsi="Calibri" w:cs="Calibri"/>
          <w:color w:val="0E101A"/>
          <w:sz w:val="22"/>
          <w:szCs w:val="22"/>
        </w:rPr>
        <w:t>, from parents and canteen managers to health experts and policymakers, participated in 11 breakout sessions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>, underscoring canteens' vital role in community wellbeing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>, student health, and educational success.</w:t>
      </w:r>
    </w:p>
    <w:p w14:paraId="13D3CBB3" w14:textId="6402B313" w:rsidR="00073C3A" w:rsidRPr="009B603F" w:rsidRDefault="00073C3A" w:rsidP="00073C3A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>In response to the critical insights gathered from the National Roundtable, a National Consensus Statement is currently being drafted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>. This statement will capture the unified voices and strategic recommendations from all stakeholders and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 outline a clear vision for the future of school canteens, emphasising the need for systemic support, policy consistency, and government investment in </w:t>
      </w:r>
      <w:r>
        <w:rPr>
          <w:rFonts w:ascii="Calibri" w:eastAsiaTheme="majorEastAsia" w:hAnsi="Calibri" w:cs="Calibri"/>
          <w:color w:val="0E101A"/>
          <w:sz w:val="22"/>
          <w:szCs w:val="22"/>
        </w:rPr>
        <w:t>this space.</w:t>
      </w:r>
    </w:p>
    <w:p w14:paraId="70F621CB" w14:textId="14F8ADBB" w:rsidR="00486444" w:rsidRDefault="009B603F" w:rsidP="00940A00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Canteens are more than </w:t>
      </w:r>
      <w:r w:rsidR="00073C3A">
        <w:rPr>
          <w:rFonts w:ascii="Calibri" w:eastAsiaTheme="majorEastAsia" w:hAnsi="Calibri" w:cs="Calibri"/>
          <w:color w:val="0E101A"/>
          <w:sz w:val="22"/>
          <w:szCs w:val="22"/>
        </w:rPr>
        <w:t>food providers—they are the heart of school communities, fostering connections and supporting student wellbeing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. </w:t>
      </w:r>
    </w:p>
    <w:p w14:paraId="0C1B499E" w14:textId="77777777" w:rsidR="007C6B96" w:rsidRPr="009B603F" w:rsidRDefault="007C6B96" w:rsidP="007C6B96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For some students, the canteen meal is the only healthy meal they eat each day, noted </w:t>
      </w:r>
      <w:r>
        <w:rPr>
          <w:rFonts w:ascii="Calibri" w:eastAsiaTheme="majorEastAsia" w:hAnsi="Calibri" w:cs="Calibri"/>
          <w:color w:val="0E101A"/>
          <w:sz w:val="22"/>
          <w:szCs w:val="22"/>
        </w:rPr>
        <w:t>Federation of Canteens in Schools Chairperson and CEO of Nutrition Australia ACT Leanne Elliston,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 highlighting the crucial role canteens play in ensuring food security and supporting academic success.</w:t>
      </w:r>
    </w:p>
    <w:p w14:paraId="0DE3EFFE" w14:textId="77777777" w:rsidR="007C6B96" w:rsidRPr="00FF3592" w:rsidRDefault="007C6B96" w:rsidP="007C6B96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>
        <w:rPr>
          <w:rFonts w:ascii="Calibri" w:eastAsiaTheme="majorEastAsia" w:hAnsi="Calibri" w:cs="Calibri"/>
          <w:color w:val="0E101A"/>
          <w:sz w:val="22"/>
          <w:szCs w:val="22"/>
        </w:rPr>
        <w:t>“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Despite their importance, school canteens face significant challenges, particularly staffing, financial sustainability, and regulatory compliance. A consistent theme across all 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 xml:space="preserve">sessions 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>was the struggle to recruit and retain volunteers, with many canteens relying on outdated volunteer models</w:t>
      </w:r>
      <w:r>
        <w:rPr>
          <w:rFonts w:ascii="Calibri" w:eastAsiaTheme="majorEastAsia" w:hAnsi="Calibri" w:cs="Calibri"/>
          <w:color w:val="0E101A"/>
          <w:sz w:val="22"/>
          <w:szCs w:val="22"/>
        </w:rPr>
        <w:t>,” said Leanne.</w:t>
      </w:r>
    </w:p>
    <w:p w14:paraId="63737C4A" w14:textId="3460AA35" w:rsidR="009B603F" w:rsidRDefault="009B603F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>Gemma Quinn, CEO of the Parent and Friends Association NSW, echoed this sentiment and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 emphasised that “evidence from communities and financial data indicate that community-run canteens yield the best outcomes for children, families, and the wider community.”</w:t>
      </w:r>
    </w:p>
    <w:p w14:paraId="232DA957" w14:textId="77777777" w:rsidR="00940A00" w:rsidRDefault="00940A00" w:rsidP="00940A00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073C3A">
        <w:rPr>
          <w:rFonts w:ascii="Calibri" w:eastAsiaTheme="majorEastAsia" w:hAnsi="Calibri" w:cs="Calibri"/>
          <w:color w:val="0E101A"/>
          <w:sz w:val="22"/>
          <w:szCs w:val="22"/>
        </w:rPr>
        <w:t>Canteens do more than serve meals</w:t>
      </w:r>
      <w:r>
        <w:rPr>
          <w:rFonts w:ascii="Calibri" w:eastAsiaTheme="majorEastAsia" w:hAnsi="Calibri" w:cs="Calibri"/>
          <w:color w:val="0E101A"/>
          <w:sz w:val="22"/>
          <w:szCs w:val="22"/>
        </w:rPr>
        <w:t>,</w:t>
      </w:r>
      <w:r w:rsidRPr="00073C3A">
        <w:rPr>
          <w:rFonts w:ascii="Calibri" w:eastAsiaTheme="majorEastAsia" w:hAnsi="Calibri" w:cs="Calibri"/>
          <w:color w:val="0E101A"/>
          <w:sz w:val="22"/>
          <w:szCs w:val="22"/>
        </w:rPr>
        <w:t xml:space="preserve"> they create a sense of belonging, support families juggling busy lives, and contribute to the local economy. </w:t>
      </w:r>
    </w:p>
    <w:p w14:paraId="08E2DFE1" w14:textId="7E5585A3" w:rsidR="00B64396" w:rsidRPr="00FF3592" w:rsidRDefault="00486444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073C3A">
        <w:rPr>
          <w:rFonts w:ascii="Calibri" w:eastAsiaTheme="majorEastAsia" w:hAnsi="Calibri" w:cs="Calibri"/>
          <w:color w:val="0E101A"/>
          <w:sz w:val="22"/>
          <w:szCs w:val="22"/>
        </w:rPr>
        <w:t>“By nourishing our children, they nurture the wellbeing of entire communities.”​</w:t>
      </w:r>
    </w:p>
    <w:p w14:paraId="1D003A9D" w14:textId="1057B312" w:rsidR="009B603F" w:rsidRPr="00FF3592" w:rsidRDefault="009B603F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 xml:space="preserve">Many children rely on canteens as their primary source of nutritious meals, so 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the significance of these services extends far beyond lunchtime. </w:t>
      </w:r>
    </w:p>
    <w:p w14:paraId="13B1B93B" w14:textId="12B954E3" w:rsidR="00073C3A" w:rsidRPr="00073C3A" w:rsidRDefault="00073C3A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073C3A">
        <w:rPr>
          <w:rFonts w:ascii="Calibri" w:eastAsiaTheme="majorEastAsia" w:hAnsi="Calibri" w:cs="Calibri"/>
          <w:color w:val="0E101A"/>
          <w:sz w:val="22"/>
          <w:szCs w:val="22"/>
        </w:rPr>
        <w:t xml:space="preserve">“The reliance on volunteers is unsustainable, especially as most parents are now working. I often think about volunteering at my local primary school, and then the reality hits that I don’t have </w:t>
      </w:r>
      <w:r>
        <w:rPr>
          <w:rFonts w:ascii="Calibri" w:eastAsiaTheme="majorEastAsia" w:hAnsi="Calibri" w:cs="Calibri"/>
          <w:color w:val="0E101A"/>
          <w:sz w:val="22"/>
          <w:szCs w:val="22"/>
        </w:rPr>
        <w:t>the ability to do so with workplace demands</w:t>
      </w:r>
      <w:r w:rsidRPr="00073C3A">
        <w:rPr>
          <w:rFonts w:ascii="Calibri" w:eastAsiaTheme="majorEastAsia" w:hAnsi="Calibri" w:cs="Calibri"/>
          <w:color w:val="0E101A"/>
          <w:sz w:val="22"/>
          <w:szCs w:val="22"/>
        </w:rPr>
        <w:t>,” said Stacey, a mother of two primary school children.</w:t>
      </w:r>
    </w:p>
    <w:p w14:paraId="71387CF6" w14:textId="33A36870" w:rsidR="009B603F" w:rsidRPr="009B603F" w:rsidRDefault="009B603F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lastRenderedPageBreak/>
        <w:t xml:space="preserve">Rising food costs and complex compliance requirements further compound the issue. 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>It was noted that the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 rising cost of food makes it difficult to keep menu prices low, impacting access for students in disadvantaged areas.</w:t>
      </w:r>
      <w:r w:rsidR="00073C3A">
        <w:rPr>
          <w:rFonts w:ascii="Calibri" w:eastAsiaTheme="majorEastAsia" w:hAnsi="Calibri" w:cs="Calibri"/>
          <w:color w:val="0E101A"/>
          <w:sz w:val="22"/>
          <w:szCs w:val="22"/>
        </w:rPr>
        <w:t xml:space="preserve"> 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>Additionally, canteens are subject to stringent food safety regulations, placing immense pressure on volunteer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 xml:space="preserve"> 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>operations.</w:t>
      </w:r>
    </w:p>
    <w:p w14:paraId="7FCDF98A" w14:textId="22B48D08" w:rsidR="009B603F" w:rsidRPr="009B603F" w:rsidRDefault="009B603F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>The roundtable identified community engagement, policy consistency, and professionalisation as key drivers for sustaining school canteens. Real buy</w:t>
      </w:r>
      <w:r w:rsidR="00073C3A">
        <w:rPr>
          <w:rFonts w:ascii="Calibri" w:eastAsiaTheme="majorEastAsia" w:hAnsi="Calibri" w:cs="Calibri"/>
          <w:color w:val="0E101A"/>
          <w:sz w:val="22"/>
          <w:szCs w:val="22"/>
        </w:rPr>
        <w:t xml:space="preserve"> 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>in from the whole school community is essential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 xml:space="preserve">, 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>emphasising the need for support from school leaders, parents, and staff.</w:t>
      </w:r>
    </w:p>
    <w:p w14:paraId="1BEB19AC" w14:textId="18E90BE9" w:rsidR="009B603F" w:rsidRPr="009B603F" w:rsidRDefault="009B603F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>Another pivotal recommendation was to transition from volunteer-run to professionally staffed canteens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. Moving to a paid staffing model 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 xml:space="preserve">was highlighted as necessary for 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>improved food safety and operational efficiency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 xml:space="preserve">. This reflected 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a growing consensus that paid, skilled staff are crucial for 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>long-term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 sustainability.</w:t>
      </w:r>
    </w:p>
    <w:p w14:paraId="39707047" w14:textId="65C36816" w:rsidR="009B603F" w:rsidRPr="00FF3592" w:rsidRDefault="009B603F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 xml:space="preserve">Participants called for national consistency in policies and greater government support to ensure the </w:t>
      </w:r>
      <w:r w:rsidR="00073C3A">
        <w:rPr>
          <w:rFonts w:ascii="Calibri" w:eastAsiaTheme="majorEastAsia" w:hAnsi="Calibri" w:cs="Calibri"/>
          <w:color w:val="0E101A"/>
          <w:sz w:val="22"/>
          <w:szCs w:val="22"/>
        </w:rPr>
        <w:t>long-term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 xml:space="preserve"> viability of school canteens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. </w:t>
      </w:r>
    </w:p>
    <w:p w14:paraId="543E2D3E" w14:textId="5BB28CB7" w:rsidR="009B603F" w:rsidRPr="009B603F" w:rsidRDefault="00073C3A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4F4192">
        <w:rPr>
          <w:rFonts w:ascii="Calibri" w:eastAsiaTheme="majorEastAsia" w:hAnsi="Calibri" w:cs="Calibri"/>
          <w:color w:val="0E101A"/>
          <w:sz w:val="22"/>
          <w:szCs w:val="22"/>
        </w:rPr>
        <w:t>Amanda Ferguson</w:t>
      </w:r>
      <w:r w:rsidR="00576389" w:rsidRPr="004F4192">
        <w:rPr>
          <w:rFonts w:ascii="Calibri" w:eastAsiaTheme="majorEastAsia" w:hAnsi="Calibri" w:cs="Calibri"/>
          <w:color w:val="0E101A"/>
          <w:sz w:val="22"/>
          <w:szCs w:val="22"/>
        </w:rPr>
        <w:t xml:space="preserve"> FOCIS Executive Member</w:t>
      </w:r>
      <w:r w:rsidRPr="004F4192">
        <w:rPr>
          <w:rFonts w:ascii="Calibri" w:eastAsiaTheme="majorEastAsia" w:hAnsi="Calibri" w:cs="Calibri"/>
          <w:color w:val="0E101A"/>
          <w:sz w:val="22"/>
          <w:szCs w:val="22"/>
        </w:rPr>
        <w:t xml:space="preserve"> </w:t>
      </w:r>
      <w:r w:rsidR="00576389" w:rsidRPr="004F4192">
        <w:rPr>
          <w:rFonts w:ascii="Calibri" w:eastAsiaTheme="majorEastAsia" w:hAnsi="Calibri" w:cs="Calibri"/>
          <w:color w:val="0E101A"/>
          <w:sz w:val="22"/>
          <w:szCs w:val="22"/>
        </w:rPr>
        <w:t xml:space="preserve">and Project Development Officer from </w:t>
      </w:r>
      <w:r w:rsidRPr="004F4192">
        <w:rPr>
          <w:rFonts w:ascii="Calibri" w:eastAsiaTheme="majorEastAsia" w:hAnsi="Calibri" w:cs="Calibri"/>
          <w:color w:val="0E101A"/>
          <w:sz w:val="22"/>
          <w:szCs w:val="22"/>
        </w:rPr>
        <w:t>Foodcore</w:t>
      </w:r>
      <w:r w:rsidR="00570ECD" w:rsidRPr="004F4192">
        <w:rPr>
          <w:rFonts w:ascii="Calibri" w:eastAsiaTheme="majorEastAsia" w:hAnsi="Calibri" w:cs="Calibri"/>
          <w:color w:val="0E101A"/>
          <w:sz w:val="22"/>
          <w:szCs w:val="22"/>
        </w:rPr>
        <w:t xml:space="preserve"> Nutrition Services Inc</w:t>
      </w:r>
      <w:r w:rsidR="009B603F" w:rsidRPr="004F4192">
        <w:rPr>
          <w:rFonts w:ascii="Calibri" w:eastAsiaTheme="majorEastAsia" w:hAnsi="Calibri" w:cs="Calibri"/>
          <w:color w:val="0E101A"/>
          <w:sz w:val="22"/>
          <w:szCs w:val="22"/>
        </w:rPr>
        <w:t xml:space="preserve"> stressed the need for </w:t>
      </w:r>
      <w:r w:rsidR="00570ECD" w:rsidRPr="004F4192">
        <w:rPr>
          <w:rFonts w:ascii="Calibri" w:eastAsiaTheme="majorEastAsia" w:hAnsi="Calibri" w:cs="Calibri"/>
          <w:color w:val="0E101A"/>
          <w:sz w:val="22"/>
          <w:szCs w:val="22"/>
        </w:rPr>
        <w:t xml:space="preserve">federal support for all school canteens that includes human resources, infrastructure and training; ensuring they are seen as a vital part of the school community </w:t>
      </w:r>
      <w:r w:rsidR="009B603F" w:rsidRPr="004F4192">
        <w:rPr>
          <w:rFonts w:ascii="Calibri" w:eastAsiaTheme="majorEastAsia" w:hAnsi="Calibri" w:cs="Calibri"/>
          <w:color w:val="0E101A"/>
          <w:sz w:val="22"/>
          <w:szCs w:val="22"/>
        </w:rPr>
        <w:t>to ensure equitable access to nutritious food for all students.</w:t>
      </w:r>
    </w:p>
    <w:p w14:paraId="705A85E7" w14:textId="2E765DF5" w:rsidR="009B603F" w:rsidRPr="009B603F" w:rsidRDefault="009B603F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Participants also advocated for increased funding and subsidies, </w:t>
      </w:r>
      <w:r w:rsidR="00FF3592">
        <w:rPr>
          <w:rFonts w:ascii="Calibri" w:eastAsiaTheme="majorEastAsia" w:hAnsi="Calibri" w:cs="Calibri"/>
          <w:color w:val="0E101A"/>
          <w:sz w:val="22"/>
          <w:szCs w:val="22"/>
        </w:rPr>
        <w:t>which would allow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 canteens to maintain affordable, nutritious menus without compromising financial sustainability. </w:t>
      </w:r>
    </w:p>
    <w:p w14:paraId="55CA15BA" w14:textId="77777777" w:rsidR="00073C3A" w:rsidRDefault="00073C3A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>
        <w:rPr>
          <w:rFonts w:ascii="Calibri" w:eastAsiaTheme="majorEastAsia" w:hAnsi="Calibri" w:cs="Calibri"/>
          <w:color w:val="0E101A"/>
          <w:sz w:val="22"/>
          <w:szCs w:val="22"/>
        </w:rPr>
        <w:t>“</w:t>
      </w:r>
      <w:r w:rsidR="009B603F" w:rsidRPr="009B603F">
        <w:rPr>
          <w:rFonts w:ascii="Calibri" w:eastAsiaTheme="majorEastAsia" w:hAnsi="Calibri" w:cs="Calibri"/>
          <w:color w:val="0E101A"/>
          <w:sz w:val="22"/>
          <w:szCs w:val="22"/>
        </w:rPr>
        <w:t>This National Consensus Statement will be presented to leaders, changemakers, and government representatives ahead of the looming election</w:t>
      </w:r>
      <w:r w:rsidR="00FF3592">
        <w:rPr>
          <w:rFonts w:ascii="Calibri" w:eastAsiaTheme="majorEastAsia" w:hAnsi="Calibri" w:cs="Calibri"/>
          <w:color w:val="0E101A"/>
          <w:sz w:val="22"/>
          <w:szCs w:val="22"/>
        </w:rPr>
        <w:t xml:space="preserve"> urging </w:t>
      </w:r>
      <w:r w:rsidR="009B603F"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policymakers to prioritise school </w:t>
      </w:r>
      <w:r w:rsidR="009B603F" w:rsidRPr="00FF3592">
        <w:rPr>
          <w:rFonts w:ascii="Calibri" w:eastAsiaTheme="majorEastAsia" w:hAnsi="Calibri" w:cs="Calibri"/>
          <w:color w:val="0E101A"/>
          <w:sz w:val="22"/>
          <w:szCs w:val="22"/>
        </w:rPr>
        <w:t>canteens</w:t>
      </w:r>
      <w:r w:rsidR="009B603F"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 as a fundamental pillar of student health, learning, and wellbeing.</w:t>
      </w:r>
    </w:p>
    <w:p w14:paraId="61850D88" w14:textId="79C5B51D" w:rsidR="009B603F" w:rsidRPr="009B603F" w:rsidRDefault="009B603F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 By influencing policy at this pivotal time, the Federation of Canteens in Schools aims to secure a sustainable future for school canteens across Australia</w:t>
      </w:r>
      <w:r w:rsidR="00073C3A">
        <w:rPr>
          <w:rFonts w:ascii="Calibri" w:eastAsiaTheme="majorEastAsia" w:hAnsi="Calibri" w:cs="Calibri"/>
          <w:color w:val="0E101A"/>
          <w:sz w:val="22"/>
          <w:szCs w:val="22"/>
        </w:rPr>
        <w:t>,” said Leanne.</w:t>
      </w:r>
    </w:p>
    <w:p w14:paraId="371367F0" w14:textId="77777777" w:rsidR="009B603F" w:rsidRPr="009B603F" w:rsidRDefault="009B603F" w:rsidP="009B603F">
      <w:pPr>
        <w:pStyle w:val="NormalWeb"/>
        <w:rPr>
          <w:rFonts w:ascii="Calibri" w:eastAsiaTheme="majorEastAsia" w:hAnsi="Calibri" w:cs="Calibri"/>
          <w:b/>
          <w:bCs/>
          <w:i/>
          <w:iCs/>
          <w:color w:val="0E101A"/>
          <w:sz w:val="22"/>
          <w:szCs w:val="22"/>
        </w:rPr>
      </w:pPr>
      <w:r w:rsidRPr="009B603F">
        <w:rPr>
          <w:rFonts w:ascii="Calibri" w:eastAsiaTheme="majorEastAsia" w:hAnsi="Calibri" w:cs="Calibri"/>
          <w:b/>
          <w:bCs/>
          <w:i/>
          <w:iCs/>
          <w:color w:val="0E101A"/>
          <w:sz w:val="22"/>
          <w:szCs w:val="22"/>
        </w:rPr>
        <w:t>About the Federation of Canteens in Schools National Roundtable</w:t>
      </w:r>
    </w:p>
    <w:p w14:paraId="7E872A44" w14:textId="2994B592" w:rsidR="009B603F" w:rsidRPr="009B603F" w:rsidRDefault="009B603F" w:rsidP="009B603F">
      <w:pPr>
        <w:pStyle w:val="NormalWeb"/>
        <w:rPr>
          <w:rFonts w:ascii="Calibri" w:eastAsiaTheme="majorEastAsia" w:hAnsi="Calibri" w:cs="Calibri"/>
          <w:color w:val="0E101A"/>
          <w:sz w:val="22"/>
          <w:szCs w:val="22"/>
        </w:rPr>
      </w:pP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>The Federation of Canteens in Schools National Roundtable</w:t>
      </w:r>
      <w:r w:rsidR="00073C3A">
        <w:rPr>
          <w:rFonts w:ascii="Calibri" w:eastAsiaTheme="majorEastAsia" w:hAnsi="Calibri" w:cs="Calibri"/>
          <w:color w:val="0E101A"/>
          <w:sz w:val="22"/>
          <w:szCs w:val="22"/>
        </w:rPr>
        <w:t xml:space="preserve"> was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 a collaborative platform that brings </w:t>
      </w:r>
      <w:r w:rsidRPr="00FF3592">
        <w:rPr>
          <w:rFonts w:ascii="Calibri" w:eastAsiaTheme="majorEastAsia" w:hAnsi="Calibri" w:cs="Calibri"/>
          <w:color w:val="0E101A"/>
          <w:sz w:val="22"/>
          <w:szCs w:val="22"/>
        </w:rPr>
        <w:t>stakeholders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 across Australia to discuss, share, and advocate for sustainable and healthy school canteen practices. The roundtable provide</w:t>
      </w:r>
      <w:r w:rsidR="00073C3A">
        <w:rPr>
          <w:rFonts w:ascii="Calibri" w:eastAsiaTheme="majorEastAsia" w:hAnsi="Calibri" w:cs="Calibri"/>
          <w:color w:val="0E101A"/>
          <w:sz w:val="22"/>
          <w:szCs w:val="22"/>
        </w:rPr>
        <w:t>d</w:t>
      </w:r>
      <w:r w:rsidRPr="009B603F">
        <w:rPr>
          <w:rFonts w:ascii="Calibri" w:eastAsiaTheme="majorEastAsia" w:hAnsi="Calibri" w:cs="Calibri"/>
          <w:color w:val="0E101A"/>
          <w:sz w:val="22"/>
          <w:szCs w:val="22"/>
        </w:rPr>
        <w:t xml:space="preserve"> a voice for schools, parents, and communities, driving positive change in student nutrition and well-being.</w:t>
      </w:r>
    </w:p>
    <w:p w14:paraId="19DB9D24" w14:textId="18863B84" w:rsidR="00FF3592" w:rsidRPr="00073C3A" w:rsidRDefault="00FF3592" w:rsidP="007B2983">
      <w:pPr>
        <w:pStyle w:val="NormalWeb"/>
        <w:rPr>
          <w:rFonts w:ascii="Calibri" w:eastAsiaTheme="majorEastAsia" w:hAnsi="Calibri" w:cs="Calibri"/>
          <w:color w:val="0000FF"/>
          <w:sz w:val="22"/>
          <w:szCs w:val="22"/>
          <w:u w:val="single"/>
        </w:rPr>
      </w:pPr>
      <w:r>
        <w:rPr>
          <w:rFonts w:ascii="Calibri" w:eastAsiaTheme="majorEastAsia" w:hAnsi="Calibri" w:cs="Calibri"/>
          <w:color w:val="0E101A"/>
          <w:sz w:val="22"/>
          <w:szCs w:val="22"/>
        </w:rPr>
        <w:t xml:space="preserve">For more information on the Federation of Canteens in Schools, visit </w:t>
      </w:r>
      <w:hyperlink r:id="rId9" w:history="1">
        <w:r w:rsidRPr="00E35F40">
          <w:rPr>
            <w:rStyle w:val="Hyperlink"/>
            <w:rFonts w:ascii="Calibri" w:eastAsiaTheme="majorEastAsia" w:hAnsi="Calibri" w:cs="Calibri"/>
            <w:sz w:val="22"/>
            <w:szCs w:val="22"/>
          </w:rPr>
          <w:t>www.focis.com.au</w:t>
        </w:r>
      </w:hyperlink>
      <w:r>
        <w:rPr>
          <w:rFonts w:ascii="Calibri" w:eastAsiaTheme="majorEastAsia" w:hAnsi="Calibri" w:cs="Calibri"/>
          <w:color w:val="0E101A"/>
          <w:sz w:val="22"/>
          <w:szCs w:val="22"/>
        </w:rPr>
        <w:t xml:space="preserve"> </w:t>
      </w:r>
    </w:p>
    <w:p w14:paraId="4CF7686A" w14:textId="56A9BA6C" w:rsidR="00C63B90" w:rsidRDefault="00C63B90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Media contacts</w:t>
      </w:r>
    </w:p>
    <w:p w14:paraId="0D36CCFA" w14:textId="77777777" w:rsidR="00C63B90" w:rsidRDefault="00C63B90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8E01CA2" w14:textId="5F013913" w:rsidR="00914806" w:rsidRPr="00735548" w:rsidRDefault="00914806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t xml:space="preserve">Leanne Elliston </w:t>
      </w:r>
    </w:p>
    <w:p w14:paraId="206285C3" w14:textId="63FB4AA9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FOCIS Chairperson and Senior Dietitian/</w:t>
      </w:r>
      <w:r w:rsidR="00994F6C">
        <w:rPr>
          <w:rFonts w:ascii="Calibri" w:hAnsi="Calibri" w:cs="Calibri"/>
          <w:sz w:val="22"/>
          <w:szCs w:val="22"/>
        </w:rPr>
        <w:t xml:space="preserve">Chief </w:t>
      </w:r>
      <w:r w:rsidRPr="00735548">
        <w:rPr>
          <w:rFonts w:ascii="Calibri" w:hAnsi="Calibri" w:cs="Calibri"/>
          <w:sz w:val="22"/>
          <w:szCs w:val="22"/>
        </w:rPr>
        <w:t>Executive Officer at Nutrition Australia ACT</w:t>
      </w:r>
    </w:p>
    <w:p w14:paraId="1BC12124" w14:textId="1EA0E1A2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 xml:space="preserve">0406 631 510 </w:t>
      </w:r>
    </w:p>
    <w:p w14:paraId="26F88307" w14:textId="1FEE24E6" w:rsidR="00BC7F93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hyperlink r:id="rId10" w:history="1">
        <w:r w:rsidRPr="00735548">
          <w:rPr>
            <w:rStyle w:val="Hyperlink"/>
            <w:rFonts w:ascii="Calibri" w:hAnsi="Calibri" w:cs="Calibri"/>
            <w:sz w:val="22"/>
            <w:szCs w:val="22"/>
          </w:rPr>
          <w:t>lelliston@act.nutritionaustralia.org</w:t>
        </w:r>
      </w:hyperlink>
      <w:r w:rsidRPr="00735548">
        <w:rPr>
          <w:rFonts w:ascii="Calibri" w:hAnsi="Calibri" w:cs="Calibri"/>
          <w:sz w:val="22"/>
          <w:szCs w:val="22"/>
        </w:rPr>
        <w:t xml:space="preserve"> </w:t>
      </w:r>
    </w:p>
    <w:p w14:paraId="7E9A5ADC" w14:textId="77777777" w:rsidR="00BC7F93" w:rsidRPr="00735548" w:rsidRDefault="00BC7F93" w:rsidP="00BC7F93">
      <w:pPr>
        <w:rPr>
          <w:rFonts w:ascii="Calibri" w:hAnsi="Calibri" w:cs="Calibri"/>
          <w:sz w:val="22"/>
          <w:szCs w:val="22"/>
        </w:rPr>
      </w:pPr>
    </w:p>
    <w:p w14:paraId="57D04370" w14:textId="7F343138" w:rsidR="00914806" w:rsidRPr="00735548" w:rsidRDefault="00914806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t>Stacey Kershaw-Brant</w:t>
      </w:r>
    </w:p>
    <w:p w14:paraId="1345F7DF" w14:textId="398B8582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lastRenderedPageBreak/>
        <w:t xml:space="preserve">Communications and Advocacy </w:t>
      </w:r>
    </w:p>
    <w:p w14:paraId="2D50EA0A" w14:textId="26886E7D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FOCIS</w:t>
      </w:r>
    </w:p>
    <w:p w14:paraId="4B702E2C" w14:textId="0099EE5E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0409 690 714</w:t>
      </w:r>
    </w:p>
    <w:p w14:paraId="1AB84C49" w14:textId="6B5B5679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hyperlink r:id="rId11" w:history="1">
        <w:r w:rsidRPr="00735548">
          <w:rPr>
            <w:rStyle w:val="Hyperlink"/>
            <w:rFonts w:ascii="Calibri" w:hAnsi="Calibri" w:cs="Calibri"/>
            <w:sz w:val="22"/>
            <w:szCs w:val="22"/>
          </w:rPr>
          <w:t>Stacey@focis.com.au</w:t>
        </w:r>
      </w:hyperlink>
      <w:r w:rsidRPr="00735548">
        <w:rPr>
          <w:rFonts w:ascii="Calibri" w:hAnsi="Calibri" w:cs="Calibri"/>
          <w:sz w:val="22"/>
          <w:szCs w:val="22"/>
        </w:rPr>
        <w:t xml:space="preserve"> </w:t>
      </w:r>
    </w:p>
    <w:p w14:paraId="0F3583A5" w14:textId="77777777" w:rsidR="00914806" w:rsidRDefault="00914806" w:rsidP="00BC7F93"/>
    <w:sectPr w:rsidR="00914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249FB"/>
    <w:multiLevelType w:val="multilevel"/>
    <w:tmpl w:val="DC6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39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93"/>
    <w:rsid w:val="0000145C"/>
    <w:rsid w:val="00032450"/>
    <w:rsid w:val="00034825"/>
    <w:rsid w:val="0003664D"/>
    <w:rsid w:val="00045BD5"/>
    <w:rsid w:val="000557D8"/>
    <w:rsid w:val="00073C3A"/>
    <w:rsid w:val="00074746"/>
    <w:rsid w:val="00077D51"/>
    <w:rsid w:val="00092783"/>
    <w:rsid w:val="0009386D"/>
    <w:rsid w:val="000B04CF"/>
    <w:rsid w:val="000B69D2"/>
    <w:rsid w:val="000F5497"/>
    <w:rsid w:val="001053FD"/>
    <w:rsid w:val="00133DD9"/>
    <w:rsid w:val="00145F13"/>
    <w:rsid w:val="001460AF"/>
    <w:rsid w:val="001540EA"/>
    <w:rsid w:val="001B652B"/>
    <w:rsid w:val="001C6BF4"/>
    <w:rsid w:val="001D1A9A"/>
    <w:rsid w:val="001D51D3"/>
    <w:rsid w:val="001E2CCD"/>
    <w:rsid w:val="00216B91"/>
    <w:rsid w:val="0023776A"/>
    <w:rsid w:val="00266158"/>
    <w:rsid w:val="00291FA7"/>
    <w:rsid w:val="002B36D5"/>
    <w:rsid w:val="002D3192"/>
    <w:rsid w:val="002D3DEB"/>
    <w:rsid w:val="002E0C79"/>
    <w:rsid w:val="003149E5"/>
    <w:rsid w:val="00320624"/>
    <w:rsid w:val="00351A9A"/>
    <w:rsid w:val="003534D4"/>
    <w:rsid w:val="003A315D"/>
    <w:rsid w:val="003B6B0D"/>
    <w:rsid w:val="003C0EEC"/>
    <w:rsid w:val="003D4EC9"/>
    <w:rsid w:val="003E6481"/>
    <w:rsid w:val="003F2E62"/>
    <w:rsid w:val="0040044F"/>
    <w:rsid w:val="00403DDB"/>
    <w:rsid w:val="004042AC"/>
    <w:rsid w:val="00411C0D"/>
    <w:rsid w:val="00421396"/>
    <w:rsid w:val="00434999"/>
    <w:rsid w:val="00465414"/>
    <w:rsid w:val="00476EF7"/>
    <w:rsid w:val="00486444"/>
    <w:rsid w:val="0049410E"/>
    <w:rsid w:val="004B5561"/>
    <w:rsid w:val="004B6100"/>
    <w:rsid w:val="004B7092"/>
    <w:rsid w:val="004F4192"/>
    <w:rsid w:val="004F55D4"/>
    <w:rsid w:val="00524D56"/>
    <w:rsid w:val="005257E4"/>
    <w:rsid w:val="00533CFB"/>
    <w:rsid w:val="00550421"/>
    <w:rsid w:val="00570ECD"/>
    <w:rsid w:val="00576389"/>
    <w:rsid w:val="00582F14"/>
    <w:rsid w:val="005F1C25"/>
    <w:rsid w:val="00616E35"/>
    <w:rsid w:val="00637401"/>
    <w:rsid w:val="006830B8"/>
    <w:rsid w:val="00683D0A"/>
    <w:rsid w:val="00692149"/>
    <w:rsid w:val="006A126A"/>
    <w:rsid w:val="006D16A7"/>
    <w:rsid w:val="006E4C6B"/>
    <w:rsid w:val="006E4FD6"/>
    <w:rsid w:val="00726581"/>
    <w:rsid w:val="00735548"/>
    <w:rsid w:val="0073718C"/>
    <w:rsid w:val="00741AB6"/>
    <w:rsid w:val="00757980"/>
    <w:rsid w:val="007A2DD0"/>
    <w:rsid w:val="007B2138"/>
    <w:rsid w:val="007B2983"/>
    <w:rsid w:val="007C6B96"/>
    <w:rsid w:val="007D54EC"/>
    <w:rsid w:val="007D5DEC"/>
    <w:rsid w:val="00806284"/>
    <w:rsid w:val="00837C44"/>
    <w:rsid w:val="0086334D"/>
    <w:rsid w:val="00871CB5"/>
    <w:rsid w:val="00875291"/>
    <w:rsid w:val="008C3A93"/>
    <w:rsid w:val="008D35E0"/>
    <w:rsid w:val="008D5BF9"/>
    <w:rsid w:val="008E21EF"/>
    <w:rsid w:val="008F5CB8"/>
    <w:rsid w:val="008F7D36"/>
    <w:rsid w:val="0090680D"/>
    <w:rsid w:val="00914806"/>
    <w:rsid w:val="00920B4B"/>
    <w:rsid w:val="00934A3F"/>
    <w:rsid w:val="00940A00"/>
    <w:rsid w:val="00940B9D"/>
    <w:rsid w:val="009417A5"/>
    <w:rsid w:val="00963E9A"/>
    <w:rsid w:val="0096480B"/>
    <w:rsid w:val="0096799C"/>
    <w:rsid w:val="009937E1"/>
    <w:rsid w:val="00994F6C"/>
    <w:rsid w:val="00997D5C"/>
    <w:rsid w:val="009B1D42"/>
    <w:rsid w:val="009B5B6C"/>
    <w:rsid w:val="009B603F"/>
    <w:rsid w:val="009D05CF"/>
    <w:rsid w:val="009D3963"/>
    <w:rsid w:val="00A14E0F"/>
    <w:rsid w:val="00A3762E"/>
    <w:rsid w:val="00A85214"/>
    <w:rsid w:val="00A869C5"/>
    <w:rsid w:val="00A90490"/>
    <w:rsid w:val="00AA0B3A"/>
    <w:rsid w:val="00AC09B4"/>
    <w:rsid w:val="00AD0C19"/>
    <w:rsid w:val="00AD16B9"/>
    <w:rsid w:val="00AE4E08"/>
    <w:rsid w:val="00AF6D43"/>
    <w:rsid w:val="00B41195"/>
    <w:rsid w:val="00B45CDE"/>
    <w:rsid w:val="00B46D6F"/>
    <w:rsid w:val="00B51193"/>
    <w:rsid w:val="00B64396"/>
    <w:rsid w:val="00B64493"/>
    <w:rsid w:val="00B81FC5"/>
    <w:rsid w:val="00BA1F30"/>
    <w:rsid w:val="00BC7F93"/>
    <w:rsid w:val="00BD7377"/>
    <w:rsid w:val="00C02696"/>
    <w:rsid w:val="00C11B7F"/>
    <w:rsid w:val="00C20C10"/>
    <w:rsid w:val="00C30507"/>
    <w:rsid w:val="00C338F4"/>
    <w:rsid w:val="00C40EF1"/>
    <w:rsid w:val="00C57FDF"/>
    <w:rsid w:val="00C63B90"/>
    <w:rsid w:val="00C71D1F"/>
    <w:rsid w:val="00C823A3"/>
    <w:rsid w:val="00C91706"/>
    <w:rsid w:val="00C962FC"/>
    <w:rsid w:val="00CA260A"/>
    <w:rsid w:val="00CA61DA"/>
    <w:rsid w:val="00CB4601"/>
    <w:rsid w:val="00CC271B"/>
    <w:rsid w:val="00CC2AD7"/>
    <w:rsid w:val="00CD37D6"/>
    <w:rsid w:val="00CF186D"/>
    <w:rsid w:val="00CF6FDB"/>
    <w:rsid w:val="00D02309"/>
    <w:rsid w:val="00D41B72"/>
    <w:rsid w:val="00D52B60"/>
    <w:rsid w:val="00D538C1"/>
    <w:rsid w:val="00D81E11"/>
    <w:rsid w:val="00DB1A41"/>
    <w:rsid w:val="00DC514F"/>
    <w:rsid w:val="00E068F8"/>
    <w:rsid w:val="00E4640C"/>
    <w:rsid w:val="00E46644"/>
    <w:rsid w:val="00E60B99"/>
    <w:rsid w:val="00ED1DD6"/>
    <w:rsid w:val="00ED2215"/>
    <w:rsid w:val="00ED55C7"/>
    <w:rsid w:val="00F03E8B"/>
    <w:rsid w:val="00F47582"/>
    <w:rsid w:val="00F5250C"/>
    <w:rsid w:val="00F830DC"/>
    <w:rsid w:val="00FA357E"/>
    <w:rsid w:val="00FC34DC"/>
    <w:rsid w:val="00FF0880"/>
    <w:rsid w:val="00FF0EC1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CC3B9"/>
  <w15:docId w15:val="{1417736B-88C3-4550-A74D-6D312833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7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F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0B69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9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54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3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9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D35E0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1C0D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64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8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7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72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7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2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76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5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34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5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46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7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4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0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62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2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03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46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8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cey@focis.com.au" TargetMode="External"/><Relationship Id="rId5" Type="http://schemas.openxmlformats.org/officeDocument/2006/relationships/styles" Target="styles.xml"/><Relationship Id="rId10" Type="http://schemas.openxmlformats.org/officeDocument/2006/relationships/hyperlink" Target="mailto:lelliston@act.nutritionaustralia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oci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8241-3540-4550-86d5-c1445d7062e1" xsi:nil="true"/>
    <lcf76f155ced4ddcb4097134ff3c332f xmlns="9047daad-e99a-490a-a3f5-efbc6a9c89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F76F32DA84B8B39D7AAD56D2C01" ma:contentTypeVersion="15" ma:contentTypeDescription="Create a new document." ma:contentTypeScope="" ma:versionID="6268400a4cab158546c87c7989aa4891">
  <xsd:schema xmlns:xsd="http://www.w3.org/2001/XMLSchema" xmlns:xs="http://www.w3.org/2001/XMLSchema" xmlns:p="http://schemas.microsoft.com/office/2006/metadata/properties" xmlns:ns2="9047daad-e99a-490a-a3f5-efbc6a9c89b6" xmlns:ns3="4e5a8241-3540-4550-86d5-c1445d7062e1" targetNamespace="http://schemas.microsoft.com/office/2006/metadata/properties" ma:root="true" ma:fieldsID="c094bc1b36dbb163dc4882ab3e7ce273" ns2:_="" ns3:_="">
    <xsd:import namespace="9047daad-e99a-490a-a3f5-efbc6a9c89b6"/>
    <xsd:import namespace="4e5a8241-3540-4550-86d5-c1445d706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daad-e99a-490a-a3f5-efbc6a9c8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435b4e-1cb0-41cb-bd5d-c78481eb4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8241-3540-4550-86d5-c1445d7062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2226cb-3e40-4ac9-8fbf-aefe69e00f63}" ma:internalName="TaxCatchAll" ma:showField="CatchAllData" ma:web="4e5a8241-3540-4550-86d5-c1445d70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BF8FD-5917-4149-B677-894A0D062348}">
  <ds:schemaRefs>
    <ds:schemaRef ds:uri="http://schemas.microsoft.com/office/2006/metadata/properties"/>
    <ds:schemaRef ds:uri="http://schemas.microsoft.com/office/infopath/2007/PartnerControls"/>
    <ds:schemaRef ds:uri="4e5a8241-3540-4550-86d5-c1445d7062e1"/>
    <ds:schemaRef ds:uri="9047daad-e99a-490a-a3f5-efbc6a9c89b6"/>
  </ds:schemaRefs>
</ds:datastoreItem>
</file>

<file path=customXml/itemProps2.xml><?xml version="1.0" encoding="utf-8"?>
<ds:datastoreItem xmlns:ds="http://schemas.openxmlformats.org/officeDocument/2006/customXml" ds:itemID="{3F003C27-4D07-4561-A970-F7AB81A13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daad-e99a-490a-a3f5-efbc6a9c89b6"/>
    <ds:schemaRef ds:uri="4e5a8241-3540-4550-86d5-c1445d70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1E8E1-D638-4CDB-9839-2D4136D0D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brant</dc:creator>
  <cp:keywords/>
  <dc:description/>
  <cp:lastModifiedBy>stacey brant</cp:lastModifiedBy>
  <cp:revision>5</cp:revision>
  <cp:lastPrinted>2024-03-28T03:10:00Z</cp:lastPrinted>
  <dcterms:created xsi:type="dcterms:W3CDTF">2025-02-26T03:26:00Z</dcterms:created>
  <dcterms:modified xsi:type="dcterms:W3CDTF">2025-02-26T03:40:00Z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602492d05535e401368b1521c20501bacf77e854ac8c3a0bfab1e43dcdcd8027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0x010100360FCF76F32DA84B8B39D7AAD56D2C01</vt:lpwstr>
  </property>
  <property fmtid="{D5CDD505-2E9C-101B-9397-08002B2CF9AE}" pid="6" name="MediaServiceImageTags">
    <vt:lpwstr/>
  </property>
</Properties>
</file>