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2A8F0" w14:textId="77777777" w:rsidR="00A714C1" w:rsidRDefault="00A714C1" w:rsidP="006D4E74">
      <w:pPr>
        <w:rPr>
          <w:rFonts w:cstheme="minorHAnsi"/>
        </w:rPr>
      </w:pPr>
    </w:p>
    <w:p w14:paraId="04934D16" w14:textId="065DA9AB" w:rsidR="006D4E74" w:rsidRDefault="006D4E74" w:rsidP="006D4E74">
      <w:pPr>
        <w:rPr>
          <w:rFonts w:cstheme="minorHAnsi"/>
        </w:rPr>
      </w:pPr>
      <w:r w:rsidRPr="006D4E74">
        <w:rPr>
          <w:rFonts w:cstheme="minorHAnsi"/>
        </w:rPr>
        <w:t xml:space="preserve"> </w:t>
      </w:r>
    </w:p>
    <w:p w14:paraId="327FE436" w14:textId="7B3B4750" w:rsidR="00A714C1" w:rsidRDefault="006D4E74" w:rsidP="00A714C1">
      <w:pPr>
        <w:rPr>
          <w:b/>
          <w:bCs/>
          <w:color w:val="000000"/>
        </w:rPr>
      </w:pPr>
      <w:r w:rsidRPr="006D4E74">
        <w:rPr>
          <w:b/>
          <w:bCs/>
          <w:color w:val="000000"/>
        </w:rPr>
        <w:t>FOR IMMEDIATE RELEASE</w:t>
      </w:r>
    </w:p>
    <w:p w14:paraId="235BD0BC" w14:textId="77777777" w:rsidR="004B3F9B" w:rsidRPr="00A714C1" w:rsidRDefault="004B3F9B" w:rsidP="00A714C1">
      <w:pPr>
        <w:rPr>
          <w:b/>
          <w:bCs/>
          <w:color w:val="000000"/>
        </w:rPr>
      </w:pPr>
    </w:p>
    <w:p w14:paraId="711EA900" w14:textId="6F62BE7C" w:rsidR="00A714C1" w:rsidRDefault="00A714C1" w:rsidP="00A714C1">
      <w:pPr>
        <w:jc w:val="center"/>
        <w:rPr>
          <w:b/>
          <w:bCs/>
          <w:sz w:val="28"/>
          <w:szCs w:val="28"/>
        </w:rPr>
      </w:pPr>
      <w:r w:rsidRPr="00A714C1">
        <w:rPr>
          <w:b/>
          <w:bCs/>
          <w:sz w:val="28"/>
          <w:szCs w:val="28"/>
        </w:rPr>
        <w:t>Championing Environmental Stewardship: Past, Present, and Future</w:t>
      </w:r>
    </w:p>
    <w:p w14:paraId="46C54BD1" w14:textId="23F606F4" w:rsidR="00A714C1" w:rsidRPr="004B3F9B" w:rsidRDefault="00A714C1" w:rsidP="00A714C1">
      <w:pPr>
        <w:rPr>
          <w:rFonts w:cstheme="minorHAnsi"/>
        </w:rPr>
      </w:pPr>
      <w:r w:rsidRPr="004B3F9B">
        <w:rPr>
          <w:rFonts w:cstheme="minorHAnsi"/>
        </w:rPr>
        <w:t>World Ozone Day provides an opportunity to reflect and celebrate the crucial role of the ozone layer in protecting our planet and human health. Refrigerant Reclaim Australia acknowledges this year's theme, "</w:t>
      </w:r>
      <w:r w:rsidR="004B3F9B" w:rsidRPr="004B3F9B">
        <w:rPr>
          <w:rFonts w:cstheme="minorHAnsi"/>
          <w:color w:val="111111"/>
          <w:shd w:val="clear" w:color="auto" w:fill="FFFFFF"/>
        </w:rPr>
        <w:t>Montreal Protocol: Advancing Climate Action</w:t>
      </w:r>
      <w:r w:rsidRPr="004B3F9B">
        <w:rPr>
          <w:rFonts w:cstheme="minorHAnsi"/>
        </w:rPr>
        <w:t>," and the significant strides made and recognising the work still ahead in safeguarding our environment.</w:t>
      </w:r>
    </w:p>
    <w:p w14:paraId="19FA7E53" w14:textId="0371890F" w:rsidR="00A714C1" w:rsidRPr="00690F31" w:rsidRDefault="00A714C1" w:rsidP="00A714C1">
      <w:pPr>
        <w:spacing w:line="278" w:lineRule="auto"/>
      </w:pPr>
      <w:r w:rsidRPr="00690F31">
        <w:t xml:space="preserve">World Ozone Day serves as a crucial reminder of the importance of proper refrigerant recovery. When refrigerants aren't handled correctly, </w:t>
      </w:r>
      <w:r w:rsidRPr="00CF34C7">
        <w:t xml:space="preserve">CFC </w:t>
      </w:r>
      <w:r w:rsidR="0079563A" w:rsidRPr="00CF34C7">
        <w:t xml:space="preserve">and HCFC </w:t>
      </w:r>
      <w:r w:rsidRPr="00690F31">
        <w:t xml:space="preserve">molecules can rise into the stratosphere, break down, and deplete the ozone layer, allowing more harmful UVB radiation to reach the Earth's surface. Alarmingly, just 1 kilogram of CFC-12 can destroy up to 10 tonnes of stratospheric ozone. </w:t>
      </w:r>
    </w:p>
    <w:p w14:paraId="064B0A3B" w14:textId="1624287B" w:rsidR="00A714C1" w:rsidRPr="005A5234" w:rsidRDefault="00A714C1" w:rsidP="00A714C1">
      <w:pPr>
        <w:rPr>
          <w:rFonts w:cstheme="minorHAnsi"/>
        </w:rPr>
      </w:pPr>
      <w:r w:rsidRPr="00B5731D">
        <w:t>In 1987, the global community adopted the Montreal Protocol on Substances that Deplete the Ozone Layer</w:t>
      </w:r>
      <w:r>
        <w:t>.</w:t>
      </w:r>
      <w:r w:rsidRPr="00B5731D">
        <w:t xml:space="preserve"> </w:t>
      </w:r>
      <w:r w:rsidR="004B3F9B">
        <w:t>In Australia, the</w:t>
      </w:r>
      <w:r w:rsidRPr="00B5731D">
        <w:t xml:space="preserve"> protocol is celebrated for its role in preventing more than 10 </w:t>
      </w:r>
      <w:proofErr w:type="spellStart"/>
      <w:r w:rsidRPr="00B5731D">
        <w:t>Megatonnes</w:t>
      </w:r>
      <w:proofErr w:type="spellEnd"/>
      <w:r w:rsidRPr="00B5731D">
        <w:t xml:space="preserve"> of stratospheric ozone depletion. Industry contributions, particularly in reducing HCFC emissions, have been instrumental. According to CSIRO, total HCFC emissions in Australia have fallen by about 67% from 2,306 metric tonnes in 2002 to 772 metric tonnes in 2021, with ODP-weighted HCFC emissions </w:t>
      </w:r>
      <w:r w:rsidRPr="005A5234">
        <w:rPr>
          <w:rFonts w:cstheme="minorHAnsi"/>
        </w:rPr>
        <w:t>declining from 128 tonnes in 2002 to 46 tonnes in 2021.</w:t>
      </w:r>
      <w:r w:rsidR="00F40840" w:rsidRPr="005A5234">
        <w:rPr>
          <w:rFonts w:cstheme="minorHAnsi"/>
        </w:rPr>
        <w:t xml:space="preserve"> </w:t>
      </w:r>
    </w:p>
    <w:p w14:paraId="07D4365B" w14:textId="5D990C2B" w:rsidR="00A714C1" w:rsidRPr="005A5234" w:rsidRDefault="00A714C1" w:rsidP="00A714C1">
      <w:pPr>
        <w:rPr>
          <w:rFonts w:cstheme="minorHAnsi"/>
        </w:rPr>
      </w:pPr>
      <w:r w:rsidRPr="005A5234">
        <w:rPr>
          <w:rFonts w:cstheme="minorHAnsi"/>
        </w:rPr>
        <w:t xml:space="preserve">“World Ozone Day serves as a powerful reminder of what we can achieve through international cooperation and industry collaboration,” said Kylie </w:t>
      </w:r>
      <w:r w:rsidR="005A5234" w:rsidRPr="005A5234">
        <w:rPr>
          <w:rFonts w:cstheme="minorHAnsi"/>
          <w:color w:val="242424"/>
          <w:shd w:val="clear" w:color="auto" w:fill="FFFFFF"/>
        </w:rPr>
        <w:t>Farrelley</w:t>
      </w:r>
      <w:r w:rsidRPr="005A5234">
        <w:rPr>
          <w:rFonts w:cstheme="minorHAnsi"/>
        </w:rPr>
        <w:t xml:space="preserve">, General Manager of Refrigerant Reclaim Australia. </w:t>
      </w:r>
    </w:p>
    <w:p w14:paraId="7335E805" w14:textId="77777777" w:rsidR="00A714C1" w:rsidRPr="00B5731D" w:rsidRDefault="00A714C1" w:rsidP="00A714C1">
      <w:pPr>
        <w:spacing w:line="278" w:lineRule="auto"/>
      </w:pPr>
      <w:r w:rsidRPr="00B5731D">
        <w:t xml:space="preserve">“The recovery of the ozone layer is a testament to the effectiveness of the Montreal Protocol and the dedicated efforts of </w:t>
      </w:r>
      <w:r>
        <w:t xml:space="preserve">the refrigeration industry, </w:t>
      </w:r>
      <w:r w:rsidRPr="00B5731D">
        <w:t>and governments worldwide.”</w:t>
      </w:r>
    </w:p>
    <w:p w14:paraId="7612F309" w14:textId="438956B2" w:rsidR="00A714C1" w:rsidRPr="00B5731D" w:rsidRDefault="00A714C1" w:rsidP="00A714C1">
      <w:pPr>
        <w:spacing w:line="278" w:lineRule="auto"/>
      </w:pPr>
      <w:r>
        <w:t>“</w:t>
      </w:r>
      <w:r w:rsidRPr="00B5731D">
        <w:t>In the past 12 months, more than 90 tonnes of HCFC-22, a commonly used ozone-depleting substance, ha</w:t>
      </w:r>
      <w:r>
        <w:t>s</w:t>
      </w:r>
      <w:r w:rsidRPr="00B5731D">
        <w:t xml:space="preserve"> been returned </w:t>
      </w:r>
      <w:r w:rsidR="0079563A" w:rsidRPr="00CF34C7">
        <w:t xml:space="preserve">to RRA </w:t>
      </w:r>
      <w:r w:rsidRPr="00CF34C7">
        <w:t xml:space="preserve">for </w:t>
      </w:r>
      <w:r w:rsidR="0079563A" w:rsidRPr="00CF34C7">
        <w:t xml:space="preserve">safe </w:t>
      </w:r>
      <w:r w:rsidRPr="00CF34C7">
        <w:t xml:space="preserve">destruction, </w:t>
      </w:r>
      <w:r w:rsidR="004428D2" w:rsidRPr="00CF34C7">
        <w:t>signalling</w:t>
      </w:r>
      <w:r w:rsidRPr="00CF34C7">
        <w:t xml:space="preserve"> </w:t>
      </w:r>
      <w:r w:rsidRPr="00B5731D">
        <w:t>a reduced demand for R22 reclamation or re-use as legacy equipment reaches the end of its life cycle</w:t>
      </w:r>
      <w:r>
        <w:t>,” Kylie said.</w:t>
      </w:r>
    </w:p>
    <w:p w14:paraId="50029DC6" w14:textId="77777777" w:rsidR="00A714C1" w:rsidRPr="00B5731D" w:rsidRDefault="00A714C1" w:rsidP="00A714C1">
      <w:pPr>
        <w:spacing w:line="278" w:lineRule="auto"/>
      </w:pPr>
      <w:r>
        <w:t>“</w:t>
      </w:r>
      <w:r w:rsidRPr="00B5731D">
        <w:t>Global concentrations of major CFCs (CFC-11, CFC-12, CFC-113) are in decline, thanks to these collective efforts. Although global concentrations of HCFC-22 continue to grow, the rate has slowed as developed countries advance their HCFC phase-outs.</w:t>
      </w:r>
      <w:r>
        <w:t>”</w:t>
      </w:r>
    </w:p>
    <w:p w14:paraId="0F6B985D" w14:textId="77777777" w:rsidR="00A714C1" w:rsidRDefault="00A714C1" w:rsidP="00A714C1">
      <w:r w:rsidRPr="00B5731D">
        <w:t>The ozone layer is on track to recover to 1980 levels (before the appearance of the ozone hole) by around 2066 over the Antarctic, by 2045 over the Arctic, and by 2040 for the rest of the world, according to UNEP. This recovery is also helping to avoid global warming by 0.5°C.</w:t>
      </w:r>
    </w:p>
    <w:p w14:paraId="2DC0DCB0" w14:textId="77777777" w:rsidR="00A714C1" w:rsidRDefault="00A714C1" w:rsidP="00A714C1">
      <w:pPr>
        <w:spacing w:line="278" w:lineRule="auto"/>
      </w:pPr>
      <w:r>
        <w:t>“</w:t>
      </w:r>
      <w:r w:rsidRPr="00B5731D">
        <w:t>Refrigerant Reclaim Australia is committed to supporting these global efforts and emphasi</w:t>
      </w:r>
      <w:r>
        <w:t>s</w:t>
      </w:r>
      <w:r w:rsidRPr="00B5731D">
        <w:t>es the importance of continued vigilance and cooperation. As we celebrate the successes of the past, we must remain focused on the future, ensuring ongoing protection for the ozone layer and our climate.</w:t>
      </w:r>
      <w:r>
        <w:t>”</w:t>
      </w:r>
    </w:p>
    <w:p w14:paraId="3461C2CB" w14:textId="77777777" w:rsidR="00A714C1" w:rsidRPr="00B5731D" w:rsidRDefault="00A714C1" w:rsidP="00A714C1">
      <w:pPr>
        <w:spacing w:line="278" w:lineRule="auto"/>
      </w:pPr>
    </w:p>
    <w:p w14:paraId="5ADF088E" w14:textId="257AB03A" w:rsidR="00A714C1" w:rsidRPr="00B5731D" w:rsidRDefault="00A714C1" w:rsidP="00A714C1">
      <w:pPr>
        <w:spacing w:line="278" w:lineRule="auto"/>
      </w:pPr>
      <w:r>
        <w:lastRenderedPageBreak/>
        <w:br/>
      </w:r>
      <w:r w:rsidRPr="00B5731D">
        <w:t xml:space="preserve">For more information and how you can get involved, visit </w:t>
      </w:r>
      <w:hyperlink r:id="rId7" w:tgtFrame="_new" w:history="1">
        <w:r w:rsidRPr="00B5731D">
          <w:rPr>
            <w:rStyle w:val="Hyperlink"/>
          </w:rPr>
          <w:t>www.refrigerantreclaim.com.au</w:t>
        </w:r>
      </w:hyperlink>
      <w:r w:rsidRPr="00B5731D">
        <w:t>.</w:t>
      </w:r>
    </w:p>
    <w:p w14:paraId="39580767" w14:textId="77777777" w:rsidR="00A714C1" w:rsidRPr="00B5731D" w:rsidRDefault="00A714C1" w:rsidP="00A714C1">
      <w:pPr>
        <w:spacing w:line="278" w:lineRule="auto"/>
      </w:pPr>
      <w:r w:rsidRPr="00B5731D">
        <w:rPr>
          <w:b/>
          <w:bCs/>
        </w:rPr>
        <w:t>Media Contact:</w:t>
      </w:r>
    </w:p>
    <w:p w14:paraId="0120CFC4" w14:textId="77777777" w:rsidR="00A714C1" w:rsidRPr="00B5731D" w:rsidRDefault="00A714C1" w:rsidP="00A714C1">
      <w:pPr>
        <w:spacing w:line="278" w:lineRule="auto"/>
      </w:pPr>
      <w:r>
        <w:t>Stacey Kershaw-Brant</w:t>
      </w:r>
      <w:r w:rsidRPr="00B5731D">
        <w:br/>
      </w:r>
      <w:r>
        <w:t xml:space="preserve">Communications Manager </w:t>
      </w:r>
      <w:r w:rsidRPr="00B5731D">
        <w:br/>
        <w:t>Refrigerant Reclaim Australia</w:t>
      </w:r>
      <w:r w:rsidRPr="00B5731D">
        <w:br/>
      </w:r>
      <w:r>
        <w:t>0409 690 714</w:t>
      </w:r>
      <w:r w:rsidRPr="00B5731D">
        <w:br/>
      </w:r>
      <w:hyperlink r:id="rId8" w:history="1">
        <w:r w:rsidRPr="002453C1">
          <w:rPr>
            <w:rStyle w:val="Hyperlink"/>
          </w:rPr>
          <w:t>stacey@refrigerantreclaim.com.au</w:t>
        </w:r>
      </w:hyperlink>
      <w:r>
        <w:t xml:space="preserve"> </w:t>
      </w:r>
      <w:r w:rsidRPr="00B5731D">
        <w:br/>
      </w:r>
      <w:hyperlink r:id="rId9" w:tgtFrame="_new" w:history="1">
        <w:r w:rsidRPr="00B5731D">
          <w:rPr>
            <w:rStyle w:val="Hyperlink"/>
          </w:rPr>
          <w:t>www.refrigerantreclaim.com.au</w:t>
        </w:r>
      </w:hyperlink>
    </w:p>
    <w:p w14:paraId="62CF4168" w14:textId="77777777" w:rsidR="00A714C1" w:rsidRDefault="00A714C1" w:rsidP="00A714C1"/>
    <w:p w14:paraId="003070E3" w14:textId="77777777" w:rsidR="005A09C1" w:rsidRDefault="005A09C1" w:rsidP="00A714C1">
      <w:pPr>
        <w:jc w:val="center"/>
      </w:pPr>
    </w:p>
    <w:sectPr w:rsidR="005A09C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BFB44" w14:textId="77777777" w:rsidR="0019125B" w:rsidRDefault="0019125B" w:rsidP="006D4E74">
      <w:pPr>
        <w:spacing w:after="0" w:line="240" w:lineRule="auto"/>
      </w:pPr>
      <w:r>
        <w:separator/>
      </w:r>
    </w:p>
  </w:endnote>
  <w:endnote w:type="continuationSeparator" w:id="0">
    <w:p w14:paraId="1A28BFA4" w14:textId="77777777" w:rsidR="0019125B" w:rsidRDefault="0019125B" w:rsidP="006D4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34636" w14:textId="77777777" w:rsidR="0019125B" w:rsidRDefault="0019125B" w:rsidP="006D4E74">
      <w:pPr>
        <w:spacing w:after="0" w:line="240" w:lineRule="auto"/>
      </w:pPr>
      <w:r>
        <w:separator/>
      </w:r>
    </w:p>
  </w:footnote>
  <w:footnote w:type="continuationSeparator" w:id="0">
    <w:p w14:paraId="24F8A226" w14:textId="77777777" w:rsidR="0019125B" w:rsidRDefault="0019125B" w:rsidP="006D4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9EE3E" w14:textId="47137950" w:rsidR="006D4E74" w:rsidRDefault="006D4E74" w:rsidP="006D4E74">
    <w:pPr>
      <w:pStyle w:val="Header"/>
    </w:pPr>
    <w:r>
      <w:rPr>
        <w:noProof/>
      </w:rPr>
      <w:drawing>
        <wp:inline distT="0" distB="0" distL="0" distR="0" wp14:anchorId="5121CF59" wp14:editId="04817505">
          <wp:extent cx="2114550" cy="628555"/>
          <wp:effectExtent l="0" t="0" r="0" b="635"/>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31291" cy="6335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B8791F"/>
    <w:multiLevelType w:val="hybridMultilevel"/>
    <w:tmpl w:val="F07A0F80"/>
    <w:lvl w:ilvl="0" w:tplc="E70EC416">
      <w:start w:val="1"/>
      <w:numFmt w:val="bullet"/>
      <w:lvlText w:val="•"/>
      <w:lvlJc w:val="left"/>
      <w:pPr>
        <w:tabs>
          <w:tab w:val="num" w:pos="720"/>
        </w:tabs>
        <w:ind w:left="720" w:hanging="360"/>
      </w:pPr>
      <w:rPr>
        <w:rFonts w:ascii="Arial" w:hAnsi="Arial" w:hint="default"/>
      </w:rPr>
    </w:lvl>
    <w:lvl w:ilvl="1" w:tplc="3BBACCA8" w:tentative="1">
      <w:start w:val="1"/>
      <w:numFmt w:val="bullet"/>
      <w:lvlText w:val="•"/>
      <w:lvlJc w:val="left"/>
      <w:pPr>
        <w:tabs>
          <w:tab w:val="num" w:pos="1440"/>
        </w:tabs>
        <w:ind w:left="1440" w:hanging="360"/>
      </w:pPr>
      <w:rPr>
        <w:rFonts w:ascii="Arial" w:hAnsi="Arial" w:hint="default"/>
      </w:rPr>
    </w:lvl>
    <w:lvl w:ilvl="2" w:tplc="BFD867AC" w:tentative="1">
      <w:start w:val="1"/>
      <w:numFmt w:val="bullet"/>
      <w:lvlText w:val="•"/>
      <w:lvlJc w:val="left"/>
      <w:pPr>
        <w:tabs>
          <w:tab w:val="num" w:pos="2160"/>
        </w:tabs>
        <w:ind w:left="2160" w:hanging="360"/>
      </w:pPr>
      <w:rPr>
        <w:rFonts w:ascii="Arial" w:hAnsi="Arial" w:hint="default"/>
      </w:rPr>
    </w:lvl>
    <w:lvl w:ilvl="3" w:tplc="87F2CE20" w:tentative="1">
      <w:start w:val="1"/>
      <w:numFmt w:val="bullet"/>
      <w:lvlText w:val="•"/>
      <w:lvlJc w:val="left"/>
      <w:pPr>
        <w:tabs>
          <w:tab w:val="num" w:pos="2880"/>
        </w:tabs>
        <w:ind w:left="2880" w:hanging="360"/>
      </w:pPr>
      <w:rPr>
        <w:rFonts w:ascii="Arial" w:hAnsi="Arial" w:hint="default"/>
      </w:rPr>
    </w:lvl>
    <w:lvl w:ilvl="4" w:tplc="42CA992C" w:tentative="1">
      <w:start w:val="1"/>
      <w:numFmt w:val="bullet"/>
      <w:lvlText w:val="•"/>
      <w:lvlJc w:val="left"/>
      <w:pPr>
        <w:tabs>
          <w:tab w:val="num" w:pos="3600"/>
        </w:tabs>
        <w:ind w:left="3600" w:hanging="360"/>
      </w:pPr>
      <w:rPr>
        <w:rFonts w:ascii="Arial" w:hAnsi="Arial" w:hint="default"/>
      </w:rPr>
    </w:lvl>
    <w:lvl w:ilvl="5" w:tplc="B1581CFE" w:tentative="1">
      <w:start w:val="1"/>
      <w:numFmt w:val="bullet"/>
      <w:lvlText w:val="•"/>
      <w:lvlJc w:val="left"/>
      <w:pPr>
        <w:tabs>
          <w:tab w:val="num" w:pos="4320"/>
        </w:tabs>
        <w:ind w:left="4320" w:hanging="360"/>
      </w:pPr>
      <w:rPr>
        <w:rFonts w:ascii="Arial" w:hAnsi="Arial" w:hint="default"/>
      </w:rPr>
    </w:lvl>
    <w:lvl w:ilvl="6" w:tplc="BA18DA06" w:tentative="1">
      <w:start w:val="1"/>
      <w:numFmt w:val="bullet"/>
      <w:lvlText w:val="•"/>
      <w:lvlJc w:val="left"/>
      <w:pPr>
        <w:tabs>
          <w:tab w:val="num" w:pos="5040"/>
        </w:tabs>
        <w:ind w:left="5040" w:hanging="360"/>
      </w:pPr>
      <w:rPr>
        <w:rFonts w:ascii="Arial" w:hAnsi="Arial" w:hint="default"/>
      </w:rPr>
    </w:lvl>
    <w:lvl w:ilvl="7" w:tplc="9AF07934" w:tentative="1">
      <w:start w:val="1"/>
      <w:numFmt w:val="bullet"/>
      <w:lvlText w:val="•"/>
      <w:lvlJc w:val="left"/>
      <w:pPr>
        <w:tabs>
          <w:tab w:val="num" w:pos="5760"/>
        </w:tabs>
        <w:ind w:left="5760" w:hanging="360"/>
      </w:pPr>
      <w:rPr>
        <w:rFonts w:ascii="Arial" w:hAnsi="Arial" w:hint="default"/>
      </w:rPr>
    </w:lvl>
    <w:lvl w:ilvl="8" w:tplc="25E422E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AC05F44"/>
    <w:multiLevelType w:val="hybridMultilevel"/>
    <w:tmpl w:val="DAAC7452"/>
    <w:lvl w:ilvl="0" w:tplc="E53A9772">
      <w:start w:val="1"/>
      <w:numFmt w:val="bullet"/>
      <w:lvlText w:val="•"/>
      <w:lvlJc w:val="left"/>
      <w:pPr>
        <w:tabs>
          <w:tab w:val="num" w:pos="720"/>
        </w:tabs>
        <w:ind w:left="720" w:hanging="360"/>
      </w:pPr>
      <w:rPr>
        <w:rFonts w:ascii="Arial" w:hAnsi="Arial" w:hint="default"/>
      </w:rPr>
    </w:lvl>
    <w:lvl w:ilvl="1" w:tplc="99A82E72" w:tentative="1">
      <w:start w:val="1"/>
      <w:numFmt w:val="bullet"/>
      <w:lvlText w:val="•"/>
      <w:lvlJc w:val="left"/>
      <w:pPr>
        <w:tabs>
          <w:tab w:val="num" w:pos="1440"/>
        </w:tabs>
        <w:ind w:left="1440" w:hanging="360"/>
      </w:pPr>
      <w:rPr>
        <w:rFonts w:ascii="Arial" w:hAnsi="Arial" w:hint="default"/>
      </w:rPr>
    </w:lvl>
    <w:lvl w:ilvl="2" w:tplc="3512732E" w:tentative="1">
      <w:start w:val="1"/>
      <w:numFmt w:val="bullet"/>
      <w:lvlText w:val="•"/>
      <w:lvlJc w:val="left"/>
      <w:pPr>
        <w:tabs>
          <w:tab w:val="num" w:pos="2160"/>
        </w:tabs>
        <w:ind w:left="2160" w:hanging="360"/>
      </w:pPr>
      <w:rPr>
        <w:rFonts w:ascii="Arial" w:hAnsi="Arial" w:hint="default"/>
      </w:rPr>
    </w:lvl>
    <w:lvl w:ilvl="3" w:tplc="24344ABA" w:tentative="1">
      <w:start w:val="1"/>
      <w:numFmt w:val="bullet"/>
      <w:lvlText w:val="•"/>
      <w:lvlJc w:val="left"/>
      <w:pPr>
        <w:tabs>
          <w:tab w:val="num" w:pos="2880"/>
        </w:tabs>
        <w:ind w:left="2880" w:hanging="360"/>
      </w:pPr>
      <w:rPr>
        <w:rFonts w:ascii="Arial" w:hAnsi="Arial" w:hint="default"/>
      </w:rPr>
    </w:lvl>
    <w:lvl w:ilvl="4" w:tplc="160AE646" w:tentative="1">
      <w:start w:val="1"/>
      <w:numFmt w:val="bullet"/>
      <w:lvlText w:val="•"/>
      <w:lvlJc w:val="left"/>
      <w:pPr>
        <w:tabs>
          <w:tab w:val="num" w:pos="3600"/>
        </w:tabs>
        <w:ind w:left="3600" w:hanging="360"/>
      </w:pPr>
      <w:rPr>
        <w:rFonts w:ascii="Arial" w:hAnsi="Arial" w:hint="default"/>
      </w:rPr>
    </w:lvl>
    <w:lvl w:ilvl="5" w:tplc="CA3E2B68" w:tentative="1">
      <w:start w:val="1"/>
      <w:numFmt w:val="bullet"/>
      <w:lvlText w:val="•"/>
      <w:lvlJc w:val="left"/>
      <w:pPr>
        <w:tabs>
          <w:tab w:val="num" w:pos="4320"/>
        </w:tabs>
        <w:ind w:left="4320" w:hanging="360"/>
      </w:pPr>
      <w:rPr>
        <w:rFonts w:ascii="Arial" w:hAnsi="Arial" w:hint="default"/>
      </w:rPr>
    </w:lvl>
    <w:lvl w:ilvl="6" w:tplc="A702984C" w:tentative="1">
      <w:start w:val="1"/>
      <w:numFmt w:val="bullet"/>
      <w:lvlText w:val="•"/>
      <w:lvlJc w:val="left"/>
      <w:pPr>
        <w:tabs>
          <w:tab w:val="num" w:pos="5040"/>
        </w:tabs>
        <w:ind w:left="5040" w:hanging="360"/>
      </w:pPr>
      <w:rPr>
        <w:rFonts w:ascii="Arial" w:hAnsi="Arial" w:hint="default"/>
      </w:rPr>
    </w:lvl>
    <w:lvl w:ilvl="7" w:tplc="24C64CBA" w:tentative="1">
      <w:start w:val="1"/>
      <w:numFmt w:val="bullet"/>
      <w:lvlText w:val="•"/>
      <w:lvlJc w:val="left"/>
      <w:pPr>
        <w:tabs>
          <w:tab w:val="num" w:pos="5760"/>
        </w:tabs>
        <w:ind w:left="5760" w:hanging="360"/>
      </w:pPr>
      <w:rPr>
        <w:rFonts w:ascii="Arial" w:hAnsi="Arial" w:hint="default"/>
      </w:rPr>
    </w:lvl>
    <w:lvl w:ilvl="8" w:tplc="EB9E8A8E" w:tentative="1">
      <w:start w:val="1"/>
      <w:numFmt w:val="bullet"/>
      <w:lvlText w:val="•"/>
      <w:lvlJc w:val="left"/>
      <w:pPr>
        <w:tabs>
          <w:tab w:val="num" w:pos="6480"/>
        </w:tabs>
        <w:ind w:left="6480" w:hanging="360"/>
      </w:pPr>
      <w:rPr>
        <w:rFonts w:ascii="Arial" w:hAnsi="Arial" w:hint="default"/>
      </w:rPr>
    </w:lvl>
  </w:abstractNum>
  <w:num w:numId="1" w16cid:durableId="1462724471">
    <w:abstractNumId w:val="1"/>
  </w:num>
  <w:num w:numId="2" w16cid:durableId="143665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83B"/>
    <w:rsid w:val="000218BE"/>
    <w:rsid w:val="0004596B"/>
    <w:rsid w:val="00073D79"/>
    <w:rsid w:val="000C4D02"/>
    <w:rsid w:val="00100838"/>
    <w:rsid w:val="0010418B"/>
    <w:rsid w:val="00177741"/>
    <w:rsid w:val="0019125B"/>
    <w:rsid w:val="001B52AB"/>
    <w:rsid w:val="001D3B8B"/>
    <w:rsid w:val="001F42C9"/>
    <w:rsid w:val="002035AF"/>
    <w:rsid w:val="00217059"/>
    <w:rsid w:val="00235F12"/>
    <w:rsid w:val="002453E8"/>
    <w:rsid w:val="002534C6"/>
    <w:rsid w:val="00262845"/>
    <w:rsid w:val="00284A0F"/>
    <w:rsid w:val="002B7D98"/>
    <w:rsid w:val="002E0A59"/>
    <w:rsid w:val="0035346C"/>
    <w:rsid w:val="003C0DCD"/>
    <w:rsid w:val="003C7F20"/>
    <w:rsid w:val="003D38F3"/>
    <w:rsid w:val="003E7C36"/>
    <w:rsid w:val="003F3847"/>
    <w:rsid w:val="004428D2"/>
    <w:rsid w:val="0048727F"/>
    <w:rsid w:val="004B3F9B"/>
    <w:rsid w:val="004E31EA"/>
    <w:rsid w:val="0053760A"/>
    <w:rsid w:val="00540104"/>
    <w:rsid w:val="005A09C1"/>
    <w:rsid w:val="005A5234"/>
    <w:rsid w:val="006040F6"/>
    <w:rsid w:val="00622665"/>
    <w:rsid w:val="00633E49"/>
    <w:rsid w:val="0067083B"/>
    <w:rsid w:val="006D4E74"/>
    <w:rsid w:val="0079450C"/>
    <w:rsid w:val="0079563A"/>
    <w:rsid w:val="007B68CA"/>
    <w:rsid w:val="007B6F7A"/>
    <w:rsid w:val="007E0A7F"/>
    <w:rsid w:val="008A324C"/>
    <w:rsid w:val="008A7E64"/>
    <w:rsid w:val="009035B5"/>
    <w:rsid w:val="00910537"/>
    <w:rsid w:val="00926856"/>
    <w:rsid w:val="00940AA9"/>
    <w:rsid w:val="00955948"/>
    <w:rsid w:val="00964386"/>
    <w:rsid w:val="00974850"/>
    <w:rsid w:val="009A73D8"/>
    <w:rsid w:val="009A7413"/>
    <w:rsid w:val="009C38A8"/>
    <w:rsid w:val="009E33C7"/>
    <w:rsid w:val="00A54E6C"/>
    <w:rsid w:val="00A714C1"/>
    <w:rsid w:val="00A94332"/>
    <w:rsid w:val="00AF263F"/>
    <w:rsid w:val="00B511C2"/>
    <w:rsid w:val="00B83BBE"/>
    <w:rsid w:val="00B83E95"/>
    <w:rsid w:val="00C536E7"/>
    <w:rsid w:val="00C83382"/>
    <w:rsid w:val="00CA6D98"/>
    <w:rsid w:val="00CA72C0"/>
    <w:rsid w:val="00CF34C7"/>
    <w:rsid w:val="00DA1759"/>
    <w:rsid w:val="00E02CB0"/>
    <w:rsid w:val="00EC723A"/>
    <w:rsid w:val="00EF4E5D"/>
    <w:rsid w:val="00F06D92"/>
    <w:rsid w:val="00F40840"/>
    <w:rsid w:val="00F62B69"/>
    <w:rsid w:val="00F8705D"/>
    <w:rsid w:val="00FC7FE7"/>
    <w:rsid w:val="00FF72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FFED9"/>
  <w15:chartTrackingRefBased/>
  <w15:docId w15:val="{048E80B1-65A5-4D3B-8EF0-F78C6066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2AB"/>
    <w:rPr>
      <w:color w:val="0563C1" w:themeColor="hyperlink"/>
      <w:u w:val="single"/>
    </w:rPr>
  </w:style>
  <w:style w:type="character" w:styleId="UnresolvedMention">
    <w:name w:val="Unresolved Mention"/>
    <w:basedOn w:val="DefaultParagraphFont"/>
    <w:uiPriority w:val="99"/>
    <w:semiHidden/>
    <w:unhideWhenUsed/>
    <w:rsid w:val="001B52AB"/>
    <w:rPr>
      <w:color w:val="605E5C"/>
      <w:shd w:val="clear" w:color="auto" w:fill="E1DFDD"/>
    </w:rPr>
  </w:style>
  <w:style w:type="paragraph" w:styleId="Header">
    <w:name w:val="header"/>
    <w:basedOn w:val="Normal"/>
    <w:link w:val="HeaderChar"/>
    <w:uiPriority w:val="99"/>
    <w:unhideWhenUsed/>
    <w:rsid w:val="006D4E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E74"/>
  </w:style>
  <w:style w:type="paragraph" w:styleId="Footer">
    <w:name w:val="footer"/>
    <w:basedOn w:val="Normal"/>
    <w:link w:val="FooterChar"/>
    <w:uiPriority w:val="99"/>
    <w:unhideWhenUsed/>
    <w:rsid w:val="006D4E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E74"/>
  </w:style>
  <w:style w:type="paragraph" w:styleId="Revision">
    <w:name w:val="Revision"/>
    <w:hidden/>
    <w:uiPriority w:val="99"/>
    <w:semiHidden/>
    <w:rsid w:val="00E02CB0"/>
    <w:pPr>
      <w:spacing w:after="0" w:line="240" w:lineRule="auto"/>
    </w:pPr>
  </w:style>
  <w:style w:type="character" w:styleId="CommentReference">
    <w:name w:val="annotation reference"/>
    <w:basedOn w:val="DefaultParagraphFont"/>
    <w:uiPriority w:val="99"/>
    <w:semiHidden/>
    <w:unhideWhenUsed/>
    <w:rsid w:val="00E02CB0"/>
    <w:rPr>
      <w:sz w:val="16"/>
      <w:szCs w:val="16"/>
    </w:rPr>
  </w:style>
  <w:style w:type="paragraph" w:styleId="CommentText">
    <w:name w:val="annotation text"/>
    <w:basedOn w:val="Normal"/>
    <w:link w:val="CommentTextChar"/>
    <w:uiPriority w:val="99"/>
    <w:unhideWhenUsed/>
    <w:rsid w:val="00E02CB0"/>
    <w:pPr>
      <w:spacing w:line="240" w:lineRule="auto"/>
    </w:pPr>
    <w:rPr>
      <w:sz w:val="20"/>
      <w:szCs w:val="20"/>
    </w:rPr>
  </w:style>
  <w:style w:type="character" w:customStyle="1" w:styleId="CommentTextChar">
    <w:name w:val="Comment Text Char"/>
    <w:basedOn w:val="DefaultParagraphFont"/>
    <w:link w:val="CommentText"/>
    <w:uiPriority w:val="99"/>
    <w:rsid w:val="00E02CB0"/>
    <w:rPr>
      <w:sz w:val="20"/>
      <w:szCs w:val="20"/>
    </w:rPr>
  </w:style>
  <w:style w:type="paragraph" w:styleId="CommentSubject">
    <w:name w:val="annotation subject"/>
    <w:basedOn w:val="CommentText"/>
    <w:next w:val="CommentText"/>
    <w:link w:val="CommentSubjectChar"/>
    <w:uiPriority w:val="99"/>
    <w:semiHidden/>
    <w:unhideWhenUsed/>
    <w:rsid w:val="00E02CB0"/>
    <w:rPr>
      <w:b/>
      <w:bCs/>
    </w:rPr>
  </w:style>
  <w:style w:type="character" w:customStyle="1" w:styleId="CommentSubjectChar">
    <w:name w:val="Comment Subject Char"/>
    <w:basedOn w:val="CommentTextChar"/>
    <w:link w:val="CommentSubject"/>
    <w:uiPriority w:val="99"/>
    <w:semiHidden/>
    <w:rsid w:val="00E02C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4456241">
      <w:bodyDiv w:val="1"/>
      <w:marLeft w:val="0"/>
      <w:marRight w:val="0"/>
      <w:marTop w:val="0"/>
      <w:marBottom w:val="0"/>
      <w:divBdr>
        <w:top w:val="none" w:sz="0" w:space="0" w:color="auto"/>
        <w:left w:val="none" w:sz="0" w:space="0" w:color="auto"/>
        <w:bottom w:val="none" w:sz="0" w:space="0" w:color="auto"/>
        <w:right w:val="none" w:sz="0" w:space="0" w:color="auto"/>
      </w:divBdr>
    </w:div>
    <w:div w:id="1240558178">
      <w:bodyDiv w:val="1"/>
      <w:marLeft w:val="0"/>
      <w:marRight w:val="0"/>
      <w:marTop w:val="0"/>
      <w:marBottom w:val="0"/>
      <w:divBdr>
        <w:top w:val="none" w:sz="0" w:space="0" w:color="auto"/>
        <w:left w:val="none" w:sz="0" w:space="0" w:color="auto"/>
        <w:bottom w:val="none" w:sz="0" w:space="0" w:color="auto"/>
        <w:right w:val="none" w:sz="0" w:space="0" w:color="auto"/>
      </w:divBdr>
    </w:div>
    <w:div w:id="1574075968">
      <w:bodyDiv w:val="1"/>
      <w:marLeft w:val="0"/>
      <w:marRight w:val="0"/>
      <w:marTop w:val="0"/>
      <w:marBottom w:val="0"/>
      <w:divBdr>
        <w:top w:val="none" w:sz="0" w:space="0" w:color="auto"/>
        <w:left w:val="none" w:sz="0" w:space="0" w:color="auto"/>
        <w:bottom w:val="none" w:sz="0" w:space="0" w:color="auto"/>
        <w:right w:val="none" w:sz="0" w:space="0" w:color="auto"/>
      </w:divBdr>
    </w:div>
    <w:div w:id="163992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cey@refrigerantreclaim.com.au" TargetMode="External"/><Relationship Id="rId3" Type="http://schemas.openxmlformats.org/officeDocument/2006/relationships/settings" Target="settings.xml"/><Relationship Id="rId7" Type="http://schemas.openxmlformats.org/officeDocument/2006/relationships/hyperlink" Target="http://www.refrigerantreclaim.com.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frigerantreclaim.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Brant</dc:creator>
  <cp:keywords/>
  <dc:description/>
  <cp:lastModifiedBy>stacey brant</cp:lastModifiedBy>
  <cp:revision>2</cp:revision>
  <dcterms:created xsi:type="dcterms:W3CDTF">2024-09-16T04:52:00Z</dcterms:created>
  <dcterms:modified xsi:type="dcterms:W3CDTF">2024-09-16T04:52:00Z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057810bc-e4c3-4d60-bedb-0b594fba738b</vt:lpwstr>
  </property>
</Properties>
</file>