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1E4B3" w14:textId="247E0AA8" w:rsidR="00891E8C" w:rsidRPr="0093321C" w:rsidRDefault="00891E8C" w:rsidP="0093321C">
      <w:pPr>
        <w:jc w:val="center"/>
        <w:rPr>
          <w:b/>
          <w:bCs/>
        </w:rPr>
      </w:pPr>
      <w:r w:rsidRPr="0093321C">
        <w:rPr>
          <w:b/>
          <w:bCs/>
        </w:rPr>
        <w:t>Vascular Access Catheters Market</w:t>
      </w:r>
      <w:r w:rsidR="00E95373" w:rsidRPr="0093321C">
        <w:rPr>
          <w:b/>
          <w:bCs/>
        </w:rPr>
        <w:t xml:space="preserve"> to Surpass a Valuation of US$ 3.0 Bn by end of 2022 Owing to Increasing Disease Incidences due to Growing Ageing Population</w:t>
      </w:r>
    </w:p>
    <w:p w14:paraId="280682F7" w14:textId="77777777" w:rsidR="000E418E" w:rsidRPr="000E418E" w:rsidRDefault="000E418E" w:rsidP="000E418E">
      <w:pPr>
        <w:rPr>
          <w:lang w:val="en-IN"/>
        </w:rPr>
      </w:pPr>
      <w:r w:rsidRPr="000E418E">
        <w:rPr>
          <w:lang w:val="en-IN"/>
        </w:rPr>
        <w:t>The U.S. has dominated the North American vascular access catheters market in 2021</w:t>
      </w:r>
      <w:r w:rsidRPr="000E418E">
        <w:rPr>
          <w:b/>
          <w:bCs/>
          <w:lang w:val="en-IN"/>
        </w:rPr>
        <w:t> </w:t>
      </w:r>
      <w:r w:rsidRPr="000E418E">
        <w:rPr>
          <w:lang w:val="en-IN"/>
        </w:rPr>
        <w:t>with the regional revenue share of nearly</w:t>
      </w:r>
      <w:r w:rsidRPr="000E418E">
        <w:rPr>
          <w:b/>
          <w:bCs/>
          <w:lang w:val="en-IN"/>
        </w:rPr>
        <w:t> 86% </w:t>
      </w:r>
      <w:r w:rsidRPr="000E418E">
        <w:rPr>
          <w:lang w:val="en-IN"/>
        </w:rPr>
        <w:t>and is expected to grow over a CAGR of </w:t>
      </w:r>
      <w:r w:rsidRPr="000E418E">
        <w:rPr>
          <w:b/>
          <w:bCs/>
          <w:lang w:val="en-IN"/>
        </w:rPr>
        <w:t>6.4 % </w:t>
      </w:r>
      <w:r w:rsidRPr="000E418E">
        <w:rPr>
          <w:lang w:val="en-IN"/>
        </w:rPr>
        <w:t>during the forecast period.</w:t>
      </w:r>
    </w:p>
    <w:p w14:paraId="0F91388C" w14:textId="5A458F04" w:rsidR="000E418E" w:rsidRPr="000E418E" w:rsidRDefault="000E418E">
      <w:pPr>
        <w:rPr>
          <w:lang w:val="en-IN"/>
        </w:rPr>
      </w:pPr>
      <w:r w:rsidRPr="000E418E">
        <w:rPr>
          <w:lang w:val="en-IN"/>
        </w:rPr>
        <w:t>Over the time, the U.S. vascular access catheters market has tended to shift towards less expensive catheter devices with lower rate of failures. The midlines and extended dwell catheters have emerged as great alternatives for the PICC catheters, having longer dwell time with less invasion at lower cost than the latter one and it is expected that these devices will propel the U.S. market in the future.</w:t>
      </w:r>
    </w:p>
    <w:p w14:paraId="3632F9F0" w14:textId="09BED261" w:rsidR="00442209" w:rsidRDefault="000E418E">
      <w:r w:rsidRPr="00FF0430">
        <w:rPr>
          <w:rFonts w:ascii="Times" w:hAnsi="Times" w:cs="Times"/>
          <w:b/>
          <w:bCs/>
          <w:sz w:val="28"/>
          <w:szCs w:val="28"/>
        </w:rPr>
        <w:t>NEWARK, Del:</w:t>
      </w:r>
      <w:r>
        <w:rPr>
          <w:rFonts w:ascii="Times" w:hAnsi="Times" w:cs="Times"/>
          <w:b/>
          <w:bCs/>
          <w:sz w:val="28"/>
          <w:szCs w:val="28"/>
        </w:rPr>
        <w:t xml:space="preserve"> </w:t>
      </w:r>
      <w:r w:rsidR="00442209">
        <w:t xml:space="preserve">The global </w:t>
      </w:r>
      <w:hyperlink r:id="rId5" w:history="1">
        <w:r w:rsidR="00442209" w:rsidRPr="0093321C">
          <w:rPr>
            <w:rStyle w:val="Hyperlink"/>
          </w:rPr>
          <w:t>vascular access catheters market</w:t>
        </w:r>
      </w:hyperlink>
      <w:r w:rsidR="00442209">
        <w:t xml:space="preserve"> is anticipated to create lucrative growth opportunities by exhibiting a CAGR of 5.7% over the forecast period from 2022 to 2032. The global market is expected to </w:t>
      </w:r>
      <w:r w:rsidR="00442209" w:rsidRPr="00442209">
        <w:t xml:space="preserve">achieve </w:t>
      </w:r>
      <w:r w:rsidR="0093321C">
        <w:t>a</w:t>
      </w:r>
      <w:r w:rsidR="00442209" w:rsidRPr="00442209">
        <w:t xml:space="preserve"> valuation of US$ 3.0 Bn by end of 2022 with </w:t>
      </w:r>
      <w:r w:rsidR="0093321C">
        <w:t xml:space="preserve">a </w:t>
      </w:r>
      <w:r w:rsidR="00442209" w:rsidRPr="00442209">
        <w:t>total estimation of US$ 2.2 Bn</w:t>
      </w:r>
      <w:r w:rsidR="00442209">
        <w:t xml:space="preserve"> in the</w:t>
      </w:r>
      <w:r w:rsidR="00442209" w:rsidRPr="00442209">
        <w:t xml:space="preserve"> non-antimicrobial segment</w:t>
      </w:r>
      <w:r w:rsidR="00442209">
        <w:t>. According to Future Market Insights</w:t>
      </w:r>
      <w:r w:rsidR="0093321C">
        <w:t>'</w:t>
      </w:r>
      <w:r w:rsidR="00442209">
        <w:t xml:space="preserve"> historical valuation, the global</w:t>
      </w:r>
      <w:r w:rsidR="00442209" w:rsidRPr="00442209">
        <w:t xml:space="preserve"> vascular access catheters market</w:t>
      </w:r>
      <w:r w:rsidR="00442209">
        <w:t xml:space="preserve"> registered a CAGR of 4.9% from 2012 to 2021. The global market was valued at</w:t>
      </w:r>
      <w:r w:rsidR="00442209" w:rsidRPr="00442209">
        <w:t xml:space="preserve"> US$ 2.9 Bn in 2021</w:t>
      </w:r>
      <w:r w:rsidR="00442209">
        <w:t xml:space="preserve">. The growth of the market is attributed to the increasing </w:t>
      </w:r>
      <w:r w:rsidR="0093321C">
        <w:t xml:space="preserve">number of </w:t>
      </w:r>
      <w:r w:rsidR="00442209">
        <w:t xml:space="preserve">cases of blood transfusions along with the rising demands of patients for central venous access. Furthermore, the rise in </w:t>
      </w:r>
      <w:r w:rsidR="0093321C">
        <w:t xml:space="preserve">a </w:t>
      </w:r>
      <w:r w:rsidR="00442209">
        <w:t>number of lifestyle</w:t>
      </w:r>
      <w:r w:rsidR="0093321C">
        <w:t>-</w:t>
      </w:r>
      <w:r w:rsidR="00442209">
        <w:t xml:space="preserve">related disorders and surging demand for </w:t>
      </w:r>
      <w:r w:rsidR="00442209" w:rsidRPr="00442209">
        <w:t xml:space="preserve">technologically advanced vascular access devices are promising factors to propel the market in the forecast period. </w:t>
      </w:r>
      <w:r w:rsidR="0093321C">
        <w:t>The a</w:t>
      </w:r>
      <w:r w:rsidR="00442209" w:rsidRPr="00442209">
        <w:t xml:space="preserve">forementioned factors are expected market drivers and </w:t>
      </w:r>
      <w:r w:rsidR="0093321C">
        <w:t xml:space="preserve">are </w:t>
      </w:r>
      <w:r w:rsidR="00442209" w:rsidRPr="00442209">
        <w:t>anticipated to expand the market during the forecast period.</w:t>
      </w:r>
    </w:p>
    <w:p w14:paraId="328D6200" w14:textId="26E005FE" w:rsidR="00442209" w:rsidRDefault="00442209">
      <w:r>
        <w:t xml:space="preserve">A vascular access catheter also known as </w:t>
      </w:r>
      <w:r w:rsidR="0093321C">
        <w:t xml:space="preserve">a </w:t>
      </w:r>
      <w:r>
        <w:t>central line catheter is known as a long, thin, flexible tube utilized to draw bodily fluids and blood from veins including</w:t>
      </w:r>
      <w:r w:rsidRPr="00442209">
        <w:t xml:space="preserve"> intravenous fluids, drugs, or blood transfusions. </w:t>
      </w:r>
      <w:r>
        <w:t xml:space="preserve">Central access catheters are utilized for </w:t>
      </w:r>
      <w:r w:rsidRPr="00442209">
        <w:t>administering medicines, fluids, nutrients, blood</w:t>
      </w:r>
      <w:r w:rsidR="0093321C">
        <w:t>,</w:t>
      </w:r>
      <w:r w:rsidRPr="00442209">
        <w:t xml:space="preserve"> and blood products. </w:t>
      </w:r>
      <w:r>
        <w:t>Furthermore,</w:t>
      </w:r>
      <w:r w:rsidRPr="00442209">
        <w:t xml:space="preserve"> these catheters are used for measuring central venous pressure (CVP), hemodialysis</w:t>
      </w:r>
      <w:r w:rsidR="0093321C">
        <w:t>,</w:t>
      </w:r>
      <w:r w:rsidRPr="00442209">
        <w:t xml:space="preserve"> and chemotherapy over a long period of time.</w:t>
      </w:r>
      <w:r>
        <w:t xml:space="preserve"> The growth of the global vascular access catheters market is primarily driven by increasing adoption and growing demand for</w:t>
      </w:r>
      <w:r w:rsidRPr="00442209">
        <w:t xml:space="preserve"> antimicrobial coated catheters, coupled with socio-economic factors such as increasing disease incidences due to </w:t>
      </w:r>
      <w:r w:rsidR="0093321C">
        <w:t xml:space="preserve">the </w:t>
      </w:r>
      <w:r w:rsidRPr="00442209">
        <w:t xml:space="preserve">growing aging population. Increasing cases of cancer and chronic kidney disease </w:t>
      </w:r>
      <w:r w:rsidR="0093321C">
        <w:t>are</w:t>
      </w:r>
      <w:r w:rsidRPr="00442209">
        <w:t xml:space="preserve"> major factor</w:t>
      </w:r>
      <w:r w:rsidR="0093321C">
        <w:t>s</w:t>
      </w:r>
      <w:r w:rsidRPr="00442209">
        <w:t xml:space="preserve"> globally.</w:t>
      </w:r>
      <w:r>
        <w:t xml:space="preserve">   </w:t>
      </w:r>
    </w:p>
    <w:p w14:paraId="2A7AD9BE" w14:textId="36F9D353" w:rsidR="00891E8C" w:rsidRDefault="00442209">
      <w:r>
        <w:t xml:space="preserve">Owing to the technological advancements within the global vascular access catheters market within the developed regions </w:t>
      </w:r>
      <w:r w:rsidR="0093321C">
        <w:t>are</w:t>
      </w:r>
      <w:r>
        <w:t xml:space="preserve"> expected to bolster </w:t>
      </w:r>
      <w:r w:rsidR="0093321C">
        <w:t xml:space="preserve">the </w:t>
      </w:r>
      <w:r w:rsidRPr="00442209">
        <w:t>prevalence of end</w:t>
      </w:r>
      <w:r w:rsidR="0093321C">
        <w:t>-</w:t>
      </w:r>
      <w:r w:rsidRPr="00442209">
        <w:t>stage renal diseases and rising numbers of vascular access surgeries are the trends expanding the global vascular access catheters market. Other prominent growth drivers are product innovations and increasing rates of hospitalizations.</w:t>
      </w:r>
      <w:r>
        <w:t xml:space="preserve"> In addition to that, product</w:t>
      </w:r>
      <w:r w:rsidRPr="00442209">
        <w:t xml:space="preserve"> category, insertion procedure, indication</w:t>
      </w:r>
      <w:r w:rsidR="0093321C">
        <w:t>,</w:t>
      </w:r>
      <w:r w:rsidRPr="00442209">
        <w:t xml:space="preserve"> and the age of the patient are set to define the reimbursement landscape for vascular access catheters. Catheter manufacturers are expected to invest more </w:t>
      </w:r>
      <w:r w:rsidR="0093321C">
        <w:t>i</w:t>
      </w:r>
      <w:r w:rsidRPr="00442209">
        <w:t>n product design and quality to minimize the impact on patient safety.</w:t>
      </w:r>
      <w:r>
        <w:t xml:space="preserve">  </w:t>
      </w:r>
    </w:p>
    <w:p w14:paraId="292CD8B7" w14:textId="77655D43" w:rsidR="000E418E" w:rsidRDefault="000E418E">
      <w:r w:rsidRPr="000E418E">
        <w:rPr>
          <w:b/>
        </w:rPr>
        <w:t>Request Sample@</w:t>
      </w:r>
      <w:r>
        <w:t xml:space="preserve"> </w:t>
      </w:r>
      <w:hyperlink r:id="rId6" w:history="1">
        <w:r w:rsidRPr="000E418E">
          <w:rPr>
            <w:rStyle w:val="Hyperlink"/>
          </w:rPr>
          <w:t>https://www.futuremarketinsights.com/reports/sample/rep-gb-5327</w:t>
        </w:r>
      </w:hyperlink>
    </w:p>
    <w:p w14:paraId="77D4804B" w14:textId="77777777" w:rsidR="00916705" w:rsidRPr="009B0C60" w:rsidRDefault="00916705" w:rsidP="00916705">
      <w:pPr>
        <w:rPr>
          <w:b/>
          <w:bCs/>
        </w:rPr>
      </w:pPr>
      <w:r w:rsidRPr="009B0C60">
        <w:rPr>
          <w:b/>
          <w:bCs/>
        </w:rPr>
        <w:t xml:space="preserve">Key Takeaways </w:t>
      </w:r>
    </w:p>
    <w:p w14:paraId="0AB36CC0" w14:textId="7C7CBB8E" w:rsidR="00891E8C" w:rsidRDefault="0093321C" w:rsidP="0093321C">
      <w:pPr>
        <w:pStyle w:val="ListParagraph"/>
        <w:numPr>
          <w:ilvl w:val="0"/>
          <w:numId w:val="1"/>
        </w:numPr>
      </w:pPr>
      <w:r>
        <w:t>The r</w:t>
      </w:r>
      <w:r w:rsidR="00916705">
        <w:t>ising implementation of tip location devices has enhanced the accuracy and efficiency of</w:t>
      </w:r>
      <w:r w:rsidR="00916705" w:rsidRPr="00916705">
        <w:t xml:space="preserve"> PICC and CVC insertion by helping physicians to position the PICC and CVC tip in proximity to the cardio arterial and large vein junction.</w:t>
      </w:r>
      <w:r w:rsidR="00916705">
        <w:t xml:space="preserve"> </w:t>
      </w:r>
    </w:p>
    <w:p w14:paraId="0563CA51" w14:textId="00A58EC6" w:rsidR="00916705" w:rsidRDefault="00916705" w:rsidP="0093321C">
      <w:pPr>
        <w:pStyle w:val="ListParagraph"/>
        <w:numPr>
          <w:ilvl w:val="0"/>
          <w:numId w:val="1"/>
        </w:numPr>
      </w:pPr>
      <w:r>
        <w:lastRenderedPageBreak/>
        <w:t>Rising demand for central</w:t>
      </w:r>
      <w:r w:rsidRPr="00916705">
        <w:t xml:space="preserve"> venous catheters</w:t>
      </w:r>
      <w:r>
        <w:t xml:space="preserve"> combined with favorable support from various government bodies on the basis of </w:t>
      </w:r>
      <w:r w:rsidRPr="00916705">
        <w:t>reimbursement and commercialization of novel interventional solutions are major factors boosting collaborations and partnership agreements between manufacturers.</w:t>
      </w:r>
      <w:r>
        <w:t xml:space="preserve"> </w:t>
      </w:r>
    </w:p>
    <w:p w14:paraId="414C5DE4" w14:textId="6693F037" w:rsidR="00916705" w:rsidRDefault="00916705" w:rsidP="0093321C">
      <w:pPr>
        <w:pStyle w:val="ListParagraph"/>
        <w:numPr>
          <w:ilvl w:val="0"/>
          <w:numId w:val="1"/>
        </w:numPr>
      </w:pPr>
      <w:r>
        <w:t xml:space="preserve">Prominent companies within the </w:t>
      </w:r>
      <w:r w:rsidRPr="00916705">
        <w:t>central access devices market</w:t>
      </w:r>
      <w:r>
        <w:t xml:space="preserve"> are making hefty investments to introduce</w:t>
      </w:r>
      <w:r w:rsidRPr="00916705">
        <w:t xml:space="preserve"> innovative central venous catheter</w:t>
      </w:r>
      <w:r w:rsidR="0093321C">
        <w:t>s</w:t>
      </w:r>
      <w:r>
        <w:t xml:space="preserve"> that will help in capitalizing. Therefore, creating</w:t>
      </w:r>
      <w:r w:rsidRPr="00916705">
        <w:t xml:space="preserve"> lucrative opportunities in the vascular access catheters market. Also, companies are working on key related issues such as </w:t>
      </w:r>
      <w:r w:rsidR="0093321C">
        <w:t xml:space="preserve">the </w:t>
      </w:r>
      <w:r w:rsidRPr="00916705">
        <w:t>prevention of thrombus formation and infection by introducing catheters with antimicrobial coatings.</w:t>
      </w:r>
      <w:r>
        <w:t xml:space="preserve">  </w:t>
      </w:r>
    </w:p>
    <w:p w14:paraId="7E0C4F51" w14:textId="526C97D6" w:rsidR="00916705" w:rsidRDefault="00916705" w:rsidP="0093321C">
      <w:pPr>
        <w:pStyle w:val="ListParagraph"/>
        <w:numPr>
          <w:ilvl w:val="0"/>
          <w:numId w:val="1"/>
        </w:numPr>
      </w:pPr>
      <w:r>
        <w:t>The above-mentioned factors incorporate great prospects for manufacturers in order to elevate the adoption of</w:t>
      </w:r>
      <w:r w:rsidRPr="00916705">
        <w:t xml:space="preserve"> their products to create a strong consumer base and boost the vascular access catheters market in </w:t>
      </w:r>
      <w:r w:rsidR="0093321C">
        <w:t xml:space="preserve">the </w:t>
      </w:r>
      <w:r w:rsidRPr="00916705">
        <w:t>forecast years.</w:t>
      </w:r>
      <w:r>
        <w:t xml:space="preserve"> </w:t>
      </w:r>
    </w:p>
    <w:p w14:paraId="76B487DD" w14:textId="77777777" w:rsidR="00EF292E" w:rsidRDefault="00EF292E" w:rsidP="00EF292E">
      <w:pPr>
        <w:rPr>
          <w:b/>
          <w:bCs/>
        </w:rPr>
      </w:pPr>
      <w:r w:rsidRPr="00950F0C">
        <w:rPr>
          <w:b/>
          <w:bCs/>
        </w:rPr>
        <w:t>Competitive Landscape</w:t>
      </w:r>
    </w:p>
    <w:p w14:paraId="2C02E0FF" w14:textId="06D1E1E7" w:rsidR="00916705" w:rsidRDefault="00EF292E">
      <w:r>
        <w:t>Several advancements in biocompatibility,</w:t>
      </w:r>
      <w:r w:rsidRPr="00EF292E">
        <w:t xml:space="preserve"> flexibility</w:t>
      </w:r>
      <w:r w:rsidR="0093321C">
        <w:t>,</w:t>
      </w:r>
      <w:r w:rsidRPr="00EF292E">
        <w:t xml:space="preserve"> and the adoption of novel materials are </w:t>
      </w:r>
      <w:r>
        <w:t xml:space="preserve">efficiently </w:t>
      </w:r>
      <w:r w:rsidRPr="00EF292E">
        <w:t xml:space="preserve">shaping the demand </w:t>
      </w:r>
      <w:r w:rsidR="0093321C">
        <w:t>for</w:t>
      </w:r>
      <w:r w:rsidRPr="00EF292E">
        <w:t xml:space="preserve"> such eff</w:t>
      </w:r>
      <w:r>
        <w:t>ective</w:t>
      </w:r>
      <w:r w:rsidRPr="00EF292E">
        <w:t xml:space="preserve"> and quality products in the vascular access catheters market.</w:t>
      </w:r>
      <w:r>
        <w:t xml:space="preserve"> Key market players in the market are looking forward to expanding their market</w:t>
      </w:r>
      <w:r w:rsidRPr="00EF292E">
        <w:t xml:space="preserve"> and creat</w:t>
      </w:r>
      <w:r w:rsidR="0093321C">
        <w:t>ing</w:t>
      </w:r>
      <w:r w:rsidRPr="00EF292E">
        <w:t xml:space="preserve"> </w:t>
      </w:r>
      <w:r w:rsidR="0093321C">
        <w:t xml:space="preserve">a </w:t>
      </w:r>
      <w:r w:rsidRPr="00EF292E">
        <w:t xml:space="preserve">stronghold in </w:t>
      </w:r>
      <w:r w:rsidR="0093321C">
        <w:t xml:space="preserve">the </w:t>
      </w:r>
      <w:r w:rsidRPr="00EF292E">
        <w:t>consumer base from long-term vascular access catheters (VACs). Manufacturers have benefitted from the growing understanding of the diagnosis of VAC-related infections. Technological advancements especially concerning designs and materials have enabled healthcare workers to overcome complex VAC infection</w:t>
      </w:r>
      <w:r w:rsidR="0093321C">
        <w:t>s</w:t>
      </w:r>
      <w:r w:rsidRPr="00EF292E">
        <w:t xml:space="preserve"> and complications. These factors are the prospects of new technologies in the vascular access catheter market.</w:t>
      </w:r>
      <w:r>
        <w:t xml:space="preserve"> </w:t>
      </w:r>
    </w:p>
    <w:p w14:paraId="5592D72F" w14:textId="71AB3131" w:rsidR="000E418E" w:rsidRDefault="000E418E" w:rsidP="00EF292E">
      <w:pPr>
        <w:rPr>
          <w:bCs/>
        </w:rPr>
      </w:pPr>
      <w:r>
        <w:rPr>
          <w:b/>
          <w:bCs/>
        </w:rPr>
        <w:t xml:space="preserve">Browse Full Report@ </w:t>
      </w:r>
      <w:hyperlink r:id="rId7" w:history="1">
        <w:r w:rsidRPr="000E418E">
          <w:rPr>
            <w:rStyle w:val="Hyperlink"/>
            <w:bCs/>
          </w:rPr>
          <w:t>https://www.futuremarketinsights.com/reports/vascular-access-catheters-market</w:t>
        </w:r>
      </w:hyperlink>
    </w:p>
    <w:p w14:paraId="580BD850" w14:textId="77777777" w:rsidR="000E418E" w:rsidRPr="000E418E" w:rsidRDefault="000E418E" w:rsidP="000E418E">
      <w:pPr>
        <w:rPr>
          <w:b/>
          <w:bCs/>
          <w:lang w:val="en-IN"/>
        </w:rPr>
      </w:pPr>
      <w:r w:rsidRPr="000E418E">
        <w:rPr>
          <w:b/>
          <w:bCs/>
          <w:lang w:val="en-IN"/>
        </w:rPr>
        <w:t>Key Market Segments Covered in Vascular Access Catheters Industry Research</w:t>
      </w:r>
    </w:p>
    <w:p w14:paraId="59764EC0" w14:textId="77777777" w:rsidR="000E418E" w:rsidRPr="000E418E" w:rsidRDefault="000E418E" w:rsidP="000E418E">
      <w:pPr>
        <w:rPr>
          <w:b/>
          <w:bCs/>
          <w:lang w:val="en-IN"/>
        </w:rPr>
      </w:pPr>
      <w:r w:rsidRPr="000E418E">
        <w:rPr>
          <w:b/>
          <w:bCs/>
          <w:lang w:val="en-IN"/>
        </w:rPr>
        <w:t>Products:</w:t>
      </w:r>
    </w:p>
    <w:p w14:paraId="2AB805DA" w14:textId="77777777" w:rsidR="000E418E" w:rsidRPr="000E418E" w:rsidRDefault="000E418E" w:rsidP="000E418E">
      <w:pPr>
        <w:numPr>
          <w:ilvl w:val="0"/>
          <w:numId w:val="2"/>
        </w:numPr>
        <w:rPr>
          <w:b/>
          <w:bCs/>
          <w:lang w:val="en-IN"/>
        </w:rPr>
      </w:pPr>
      <w:r w:rsidRPr="000E418E">
        <w:rPr>
          <w:b/>
          <w:bCs/>
          <w:lang w:val="en-IN"/>
        </w:rPr>
        <w:t>Dialysis Catheters</w:t>
      </w:r>
    </w:p>
    <w:p w14:paraId="70C53776" w14:textId="77777777" w:rsidR="000E418E" w:rsidRPr="000E418E" w:rsidRDefault="000E418E" w:rsidP="000E418E">
      <w:pPr>
        <w:numPr>
          <w:ilvl w:val="1"/>
          <w:numId w:val="2"/>
        </w:numPr>
        <w:rPr>
          <w:bCs/>
          <w:lang w:val="en-IN"/>
        </w:rPr>
      </w:pPr>
      <w:r w:rsidRPr="000E418E">
        <w:rPr>
          <w:bCs/>
          <w:lang w:val="en-IN"/>
        </w:rPr>
        <w:t xml:space="preserve">Acute </w:t>
      </w:r>
      <w:proofErr w:type="spellStart"/>
      <w:r w:rsidRPr="000E418E">
        <w:rPr>
          <w:bCs/>
          <w:lang w:val="en-IN"/>
        </w:rPr>
        <w:t>Hemodialysis</w:t>
      </w:r>
      <w:proofErr w:type="spellEnd"/>
      <w:r w:rsidRPr="000E418E">
        <w:rPr>
          <w:bCs/>
          <w:lang w:val="en-IN"/>
        </w:rPr>
        <w:t xml:space="preserve"> Catheters</w:t>
      </w:r>
    </w:p>
    <w:p w14:paraId="58ED9DB5" w14:textId="77777777" w:rsidR="000E418E" w:rsidRPr="000E418E" w:rsidRDefault="000E418E" w:rsidP="000E418E">
      <w:pPr>
        <w:numPr>
          <w:ilvl w:val="1"/>
          <w:numId w:val="2"/>
        </w:numPr>
        <w:rPr>
          <w:bCs/>
          <w:lang w:val="en-IN"/>
        </w:rPr>
      </w:pPr>
      <w:r w:rsidRPr="000E418E">
        <w:rPr>
          <w:bCs/>
          <w:lang w:val="en-IN"/>
        </w:rPr>
        <w:t xml:space="preserve">Chronic </w:t>
      </w:r>
      <w:proofErr w:type="spellStart"/>
      <w:r w:rsidRPr="000E418E">
        <w:rPr>
          <w:bCs/>
          <w:lang w:val="en-IN"/>
        </w:rPr>
        <w:t>Hemodialysis</w:t>
      </w:r>
      <w:proofErr w:type="spellEnd"/>
      <w:r w:rsidRPr="000E418E">
        <w:rPr>
          <w:bCs/>
          <w:lang w:val="en-IN"/>
        </w:rPr>
        <w:t xml:space="preserve"> Catheters</w:t>
      </w:r>
    </w:p>
    <w:p w14:paraId="2EC7FBB3" w14:textId="77777777" w:rsidR="000E418E" w:rsidRPr="000E418E" w:rsidRDefault="000E418E" w:rsidP="000E418E">
      <w:pPr>
        <w:numPr>
          <w:ilvl w:val="1"/>
          <w:numId w:val="2"/>
        </w:numPr>
        <w:rPr>
          <w:bCs/>
          <w:lang w:val="en-IN"/>
        </w:rPr>
      </w:pPr>
      <w:r w:rsidRPr="000E418E">
        <w:rPr>
          <w:bCs/>
          <w:lang w:val="en-IN"/>
        </w:rPr>
        <w:t>Peritoneal Dialysis Catheters</w:t>
      </w:r>
    </w:p>
    <w:p w14:paraId="490FDECA" w14:textId="77777777" w:rsidR="000E418E" w:rsidRPr="000E418E" w:rsidRDefault="000E418E" w:rsidP="000E418E">
      <w:pPr>
        <w:numPr>
          <w:ilvl w:val="0"/>
          <w:numId w:val="2"/>
        </w:numPr>
        <w:rPr>
          <w:b/>
          <w:bCs/>
          <w:lang w:val="en-IN"/>
        </w:rPr>
      </w:pPr>
      <w:r w:rsidRPr="000E418E">
        <w:rPr>
          <w:b/>
          <w:bCs/>
          <w:lang w:val="en-IN"/>
        </w:rPr>
        <w:t>PICC Catheters</w:t>
      </w:r>
    </w:p>
    <w:p w14:paraId="00E2C048" w14:textId="77777777" w:rsidR="000E418E" w:rsidRPr="000E418E" w:rsidRDefault="000E418E" w:rsidP="000E418E">
      <w:pPr>
        <w:numPr>
          <w:ilvl w:val="0"/>
          <w:numId w:val="2"/>
        </w:numPr>
        <w:rPr>
          <w:b/>
          <w:bCs/>
          <w:lang w:val="en-IN"/>
        </w:rPr>
      </w:pPr>
      <w:r w:rsidRPr="000E418E">
        <w:rPr>
          <w:b/>
          <w:bCs/>
          <w:lang w:val="en-IN"/>
        </w:rPr>
        <w:t>Implantable Port</w:t>
      </w:r>
    </w:p>
    <w:p w14:paraId="15F735EB" w14:textId="77777777" w:rsidR="000E418E" w:rsidRPr="000E418E" w:rsidRDefault="000E418E" w:rsidP="000E418E">
      <w:pPr>
        <w:numPr>
          <w:ilvl w:val="0"/>
          <w:numId w:val="2"/>
        </w:numPr>
        <w:rPr>
          <w:b/>
          <w:bCs/>
          <w:lang w:val="en-IN"/>
        </w:rPr>
      </w:pPr>
      <w:r w:rsidRPr="000E418E">
        <w:rPr>
          <w:b/>
          <w:bCs/>
          <w:lang w:val="en-IN"/>
        </w:rPr>
        <w:t>CVC Catheters</w:t>
      </w:r>
    </w:p>
    <w:p w14:paraId="47DC2ED8" w14:textId="77777777" w:rsidR="000E418E" w:rsidRPr="000E418E" w:rsidRDefault="000E418E" w:rsidP="000E418E">
      <w:pPr>
        <w:numPr>
          <w:ilvl w:val="1"/>
          <w:numId w:val="2"/>
        </w:numPr>
        <w:rPr>
          <w:bCs/>
          <w:lang w:val="en-IN"/>
        </w:rPr>
      </w:pPr>
      <w:proofErr w:type="spellStart"/>
      <w:r w:rsidRPr="000E418E">
        <w:rPr>
          <w:bCs/>
          <w:lang w:val="en-IN"/>
        </w:rPr>
        <w:t>Tunneled</w:t>
      </w:r>
      <w:proofErr w:type="spellEnd"/>
      <w:r w:rsidRPr="000E418E">
        <w:rPr>
          <w:bCs/>
          <w:lang w:val="en-IN"/>
        </w:rPr>
        <w:t xml:space="preserve"> Catheters</w:t>
      </w:r>
    </w:p>
    <w:p w14:paraId="64FDFBD5" w14:textId="77777777" w:rsidR="000E418E" w:rsidRPr="000E418E" w:rsidRDefault="000E418E" w:rsidP="000E418E">
      <w:pPr>
        <w:numPr>
          <w:ilvl w:val="1"/>
          <w:numId w:val="2"/>
        </w:numPr>
        <w:rPr>
          <w:bCs/>
          <w:lang w:val="en-IN"/>
        </w:rPr>
      </w:pPr>
      <w:r w:rsidRPr="000E418E">
        <w:rPr>
          <w:bCs/>
          <w:lang w:val="en-IN"/>
        </w:rPr>
        <w:t>Non-</w:t>
      </w:r>
      <w:proofErr w:type="spellStart"/>
      <w:r w:rsidRPr="000E418E">
        <w:rPr>
          <w:bCs/>
          <w:lang w:val="en-IN"/>
        </w:rPr>
        <w:t>Tunneled</w:t>
      </w:r>
      <w:proofErr w:type="spellEnd"/>
      <w:r w:rsidRPr="000E418E">
        <w:rPr>
          <w:bCs/>
          <w:lang w:val="en-IN"/>
        </w:rPr>
        <w:t xml:space="preserve"> Catheters</w:t>
      </w:r>
    </w:p>
    <w:p w14:paraId="7EB2F6FD" w14:textId="77777777" w:rsidR="000E418E" w:rsidRPr="000E418E" w:rsidRDefault="000E418E" w:rsidP="000E418E">
      <w:pPr>
        <w:rPr>
          <w:b/>
          <w:bCs/>
          <w:lang w:val="en-IN"/>
        </w:rPr>
      </w:pPr>
      <w:r w:rsidRPr="000E418E">
        <w:rPr>
          <w:b/>
          <w:bCs/>
          <w:lang w:val="en-IN"/>
        </w:rPr>
        <w:t>Property:</w:t>
      </w:r>
    </w:p>
    <w:p w14:paraId="32BA353B" w14:textId="77777777" w:rsidR="000E418E" w:rsidRPr="000E418E" w:rsidRDefault="000E418E" w:rsidP="000E418E">
      <w:pPr>
        <w:numPr>
          <w:ilvl w:val="0"/>
          <w:numId w:val="3"/>
        </w:numPr>
        <w:rPr>
          <w:bCs/>
          <w:lang w:val="en-IN"/>
        </w:rPr>
      </w:pPr>
      <w:r w:rsidRPr="000E418E">
        <w:rPr>
          <w:bCs/>
          <w:lang w:val="en-IN"/>
        </w:rPr>
        <w:t>Antimicrobial Catheters</w:t>
      </w:r>
    </w:p>
    <w:p w14:paraId="2C98F2E0" w14:textId="77777777" w:rsidR="000E418E" w:rsidRPr="000E418E" w:rsidRDefault="000E418E" w:rsidP="000E418E">
      <w:pPr>
        <w:numPr>
          <w:ilvl w:val="0"/>
          <w:numId w:val="3"/>
        </w:numPr>
        <w:rPr>
          <w:bCs/>
          <w:lang w:val="en-IN"/>
        </w:rPr>
      </w:pPr>
      <w:r w:rsidRPr="000E418E">
        <w:rPr>
          <w:bCs/>
          <w:lang w:val="en-IN"/>
        </w:rPr>
        <w:t>Non-Antimicrobial Catheters</w:t>
      </w:r>
    </w:p>
    <w:p w14:paraId="02AA3812" w14:textId="77777777" w:rsidR="000E418E" w:rsidRPr="000E418E" w:rsidRDefault="000E418E" w:rsidP="000E418E">
      <w:pPr>
        <w:rPr>
          <w:b/>
          <w:bCs/>
          <w:lang w:val="en-IN"/>
        </w:rPr>
      </w:pPr>
      <w:r w:rsidRPr="000E418E">
        <w:rPr>
          <w:b/>
          <w:bCs/>
          <w:lang w:val="en-IN"/>
        </w:rPr>
        <w:t>Design:</w:t>
      </w:r>
    </w:p>
    <w:p w14:paraId="5735C2F5" w14:textId="77777777" w:rsidR="000E418E" w:rsidRPr="000E418E" w:rsidRDefault="000E418E" w:rsidP="000E418E">
      <w:pPr>
        <w:numPr>
          <w:ilvl w:val="0"/>
          <w:numId w:val="4"/>
        </w:numPr>
        <w:rPr>
          <w:bCs/>
          <w:lang w:val="en-IN"/>
        </w:rPr>
      </w:pPr>
      <w:r w:rsidRPr="000E418E">
        <w:rPr>
          <w:bCs/>
          <w:lang w:val="en-IN"/>
        </w:rPr>
        <w:lastRenderedPageBreak/>
        <w:t>Single Lumen</w:t>
      </w:r>
    </w:p>
    <w:p w14:paraId="44852898" w14:textId="77777777" w:rsidR="000E418E" w:rsidRPr="000E418E" w:rsidRDefault="000E418E" w:rsidP="000E418E">
      <w:pPr>
        <w:numPr>
          <w:ilvl w:val="0"/>
          <w:numId w:val="4"/>
        </w:numPr>
        <w:rPr>
          <w:bCs/>
          <w:lang w:val="en-IN"/>
        </w:rPr>
      </w:pPr>
      <w:r w:rsidRPr="000E418E">
        <w:rPr>
          <w:bCs/>
          <w:lang w:val="en-IN"/>
        </w:rPr>
        <w:t>Double Lumen</w:t>
      </w:r>
    </w:p>
    <w:p w14:paraId="437315CD" w14:textId="77777777" w:rsidR="000E418E" w:rsidRPr="000E418E" w:rsidRDefault="000E418E" w:rsidP="000E418E">
      <w:pPr>
        <w:numPr>
          <w:ilvl w:val="0"/>
          <w:numId w:val="4"/>
        </w:numPr>
        <w:rPr>
          <w:bCs/>
          <w:lang w:val="en-IN"/>
        </w:rPr>
      </w:pPr>
      <w:r w:rsidRPr="000E418E">
        <w:rPr>
          <w:bCs/>
          <w:lang w:val="en-IN"/>
        </w:rPr>
        <w:t>Multiple Lumen</w:t>
      </w:r>
    </w:p>
    <w:p w14:paraId="3118375C" w14:textId="77777777" w:rsidR="000E418E" w:rsidRPr="000E418E" w:rsidRDefault="000E418E" w:rsidP="000E418E">
      <w:pPr>
        <w:rPr>
          <w:b/>
          <w:bCs/>
          <w:lang w:val="en-IN"/>
        </w:rPr>
      </w:pPr>
      <w:r w:rsidRPr="000E418E">
        <w:rPr>
          <w:b/>
          <w:bCs/>
          <w:lang w:val="en-IN"/>
        </w:rPr>
        <w:t>End User:</w:t>
      </w:r>
    </w:p>
    <w:p w14:paraId="09108EC1" w14:textId="77777777" w:rsidR="000E418E" w:rsidRPr="000E418E" w:rsidRDefault="000E418E" w:rsidP="000E418E">
      <w:pPr>
        <w:numPr>
          <w:ilvl w:val="0"/>
          <w:numId w:val="5"/>
        </w:numPr>
        <w:rPr>
          <w:bCs/>
          <w:lang w:val="en-IN"/>
        </w:rPr>
      </w:pPr>
      <w:r w:rsidRPr="000E418E">
        <w:rPr>
          <w:bCs/>
          <w:lang w:val="en-IN"/>
        </w:rPr>
        <w:t>Hospitals</w:t>
      </w:r>
    </w:p>
    <w:p w14:paraId="5B413CC8" w14:textId="77777777" w:rsidR="000E418E" w:rsidRPr="000E418E" w:rsidRDefault="000E418E" w:rsidP="000E418E">
      <w:pPr>
        <w:numPr>
          <w:ilvl w:val="0"/>
          <w:numId w:val="5"/>
        </w:numPr>
        <w:rPr>
          <w:bCs/>
          <w:lang w:val="en-IN"/>
        </w:rPr>
      </w:pPr>
      <w:r w:rsidRPr="000E418E">
        <w:rPr>
          <w:bCs/>
          <w:lang w:val="en-IN"/>
        </w:rPr>
        <w:t xml:space="preserve">Ambulatory Surgical </w:t>
      </w:r>
      <w:proofErr w:type="spellStart"/>
      <w:r w:rsidRPr="000E418E">
        <w:rPr>
          <w:bCs/>
          <w:lang w:val="en-IN"/>
        </w:rPr>
        <w:t>Centers</w:t>
      </w:r>
      <w:proofErr w:type="spellEnd"/>
    </w:p>
    <w:p w14:paraId="70C5A71C" w14:textId="77777777" w:rsidR="000E418E" w:rsidRPr="000E418E" w:rsidRDefault="000E418E" w:rsidP="000E418E">
      <w:pPr>
        <w:numPr>
          <w:ilvl w:val="0"/>
          <w:numId w:val="5"/>
        </w:numPr>
        <w:rPr>
          <w:bCs/>
          <w:lang w:val="en-IN"/>
        </w:rPr>
      </w:pPr>
      <w:r w:rsidRPr="000E418E">
        <w:rPr>
          <w:bCs/>
          <w:lang w:val="en-IN"/>
        </w:rPr>
        <w:t xml:space="preserve">Dialysis </w:t>
      </w:r>
      <w:proofErr w:type="spellStart"/>
      <w:r w:rsidRPr="000E418E">
        <w:rPr>
          <w:bCs/>
          <w:lang w:val="en-IN"/>
        </w:rPr>
        <w:t>Centers</w:t>
      </w:r>
      <w:proofErr w:type="spellEnd"/>
    </w:p>
    <w:p w14:paraId="69A8D0EF" w14:textId="77777777" w:rsidR="000E418E" w:rsidRPr="000E418E" w:rsidRDefault="000E418E" w:rsidP="000E418E">
      <w:pPr>
        <w:numPr>
          <w:ilvl w:val="0"/>
          <w:numId w:val="5"/>
        </w:numPr>
        <w:rPr>
          <w:bCs/>
          <w:lang w:val="en-IN"/>
        </w:rPr>
      </w:pPr>
      <w:r w:rsidRPr="000E418E">
        <w:rPr>
          <w:bCs/>
          <w:lang w:val="en-IN"/>
        </w:rPr>
        <w:t>Specialty Clinics and Others</w:t>
      </w:r>
    </w:p>
    <w:p w14:paraId="0C645318" w14:textId="77777777" w:rsidR="000E418E" w:rsidRPr="000E418E" w:rsidRDefault="000E418E" w:rsidP="000E418E">
      <w:pPr>
        <w:rPr>
          <w:b/>
          <w:bCs/>
          <w:lang w:val="en-IN"/>
        </w:rPr>
      </w:pPr>
      <w:r w:rsidRPr="000E418E">
        <w:rPr>
          <w:b/>
          <w:bCs/>
          <w:lang w:val="en-IN"/>
        </w:rPr>
        <w:t>Region:</w:t>
      </w:r>
    </w:p>
    <w:p w14:paraId="7FD47344" w14:textId="77777777" w:rsidR="000E418E" w:rsidRPr="000E418E" w:rsidRDefault="000E418E" w:rsidP="000E418E">
      <w:pPr>
        <w:numPr>
          <w:ilvl w:val="0"/>
          <w:numId w:val="6"/>
        </w:numPr>
        <w:rPr>
          <w:bCs/>
          <w:lang w:val="en-IN"/>
        </w:rPr>
      </w:pPr>
      <w:r w:rsidRPr="000E418E">
        <w:rPr>
          <w:bCs/>
          <w:lang w:val="en-IN"/>
        </w:rPr>
        <w:t>North America</w:t>
      </w:r>
    </w:p>
    <w:p w14:paraId="1456F6B6" w14:textId="77777777" w:rsidR="000E418E" w:rsidRPr="000E418E" w:rsidRDefault="000E418E" w:rsidP="000E418E">
      <w:pPr>
        <w:numPr>
          <w:ilvl w:val="0"/>
          <w:numId w:val="6"/>
        </w:numPr>
        <w:rPr>
          <w:bCs/>
          <w:lang w:val="en-IN"/>
        </w:rPr>
      </w:pPr>
      <w:r w:rsidRPr="000E418E">
        <w:rPr>
          <w:bCs/>
          <w:lang w:val="en-IN"/>
        </w:rPr>
        <w:t>Latin America</w:t>
      </w:r>
    </w:p>
    <w:p w14:paraId="67435318" w14:textId="77777777" w:rsidR="000E418E" w:rsidRPr="000E418E" w:rsidRDefault="000E418E" w:rsidP="000E418E">
      <w:pPr>
        <w:numPr>
          <w:ilvl w:val="0"/>
          <w:numId w:val="6"/>
        </w:numPr>
        <w:rPr>
          <w:bCs/>
          <w:lang w:val="en-IN"/>
        </w:rPr>
      </w:pPr>
      <w:r w:rsidRPr="000E418E">
        <w:rPr>
          <w:bCs/>
          <w:lang w:val="en-IN"/>
        </w:rPr>
        <w:t>Europe</w:t>
      </w:r>
    </w:p>
    <w:p w14:paraId="1CD7BBA7" w14:textId="77777777" w:rsidR="000E418E" w:rsidRPr="000E418E" w:rsidRDefault="000E418E" w:rsidP="000E418E">
      <w:pPr>
        <w:numPr>
          <w:ilvl w:val="0"/>
          <w:numId w:val="6"/>
        </w:numPr>
        <w:rPr>
          <w:bCs/>
          <w:lang w:val="en-IN"/>
        </w:rPr>
      </w:pPr>
      <w:r w:rsidRPr="000E418E">
        <w:rPr>
          <w:bCs/>
          <w:lang w:val="en-IN"/>
        </w:rPr>
        <w:t>East Asia</w:t>
      </w:r>
    </w:p>
    <w:p w14:paraId="1B46B9C8" w14:textId="77777777" w:rsidR="000E418E" w:rsidRPr="000E418E" w:rsidRDefault="000E418E" w:rsidP="000E418E">
      <w:pPr>
        <w:numPr>
          <w:ilvl w:val="0"/>
          <w:numId w:val="6"/>
        </w:numPr>
        <w:rPr>
          <w:bCs/>
          <w:lang w:val="en-IN"/>
        </w:rPr>
      </w:pPr>
      <w:r w:rsidRPr="000E418E">
        <w:rPr>
          <w:bCs/>
          <w:lang w:val="en-IN"/>
        </w:rPr>
        <w:t>South Asia</w:t>
      </w:r>
    </w:p>
    <w:p w14:paraId="0351E568" w14:textId="77777777" w:rsidR="000E418E" w:rsidRPr="000E418E" w:rsidRDefault="000E418E" w:rsidP="000E418E">
      <w:pPr>
        <w:numPr>
          <w:ilvl w:val="0"/>
          <w:numId w:val="6"/>
        </w:numPr>
        <w:rPr>
          <w:bCs/>
          <w:lang w:val="en-IN"/>
        </w:rPr>
      </w:pPr>
      <w:r w:rsidRPr="000E418E">
        <w:rPr>
          <w:bCs/>
          <w:lang w:val="en-IN"/>
        </w:rPr>
        <w:t>Oceania</w:t>
      </w:r>
    </w:p>
    <w:p w14:paraId="4F8B2886" w14:textId="3D5F5F92" w:rsidR="000E418E" w:rsidRDefault="000E418E" w:rsidP="00EF292E">
      <w:pPr>
        <w:numPr>
          <w:ilvl w:val="0"/>
          <w:numId w:val="6"/>
        </w:numPr>
        <w:rPr>
          <w:bCs/>
          <w:lang w:val="en-IN"/>
        </w:rPr>
      </w:pPr>
      <w:r w:rsidRPr="000E418E">
        <w:rPr>
          <w:bCs/>
          <w:lang w:val="en-IN"/>
        </w:rPr>
        <w:t>Middle East and Africa (MEA)</w:t>
      </w:r>
    </w:p>
    <w:p w14:paraId="0EE23950" w14:textId="78A73404" w:rsidR="000E418E" w:rsidRDefault="000E418E" w:rsidP="000E418E">
      <w:pPr>
        <w:rPr>
          <w:bCs/>
          <w:lang w:val="en-IN"/>
        </w:rPr>
      </w:pPr>
      <w:r w:rsidRPr="000E418E">
        <w:rPr>
          <w:b/>
          <w:bCs/>
          <w:lang w:val="en-IN"/>
        </w:rPr>
        <w:t>Ask an Analyst@</w:t>
      </w:r>
      <w:r>
        <w:rPr>
          <w:bCs/>
          <w:lang w:val="en-IN"/>
        </w:rPr>
        <w:t xml:space="preserve"> </w:t>
      </w:r>
      <w:hyperlink r:id="rId8" w:history="1">
        <w:r w:rsidRPr="000E418E">
          <w:rPr>
            <w:rStyle w:val="Hyperlink"/>
            <w:bCs/>
            <w:lang w:val="en-IN"/>
          </w:rPr>
          <w:t>https://www.futuremarketinsights.com/ask-the-analyst/rep-gb-5327</w:t>
        </w:r>
      </w:hyperlink>
    </w:p>
    <w:p w14:paraId="5EC9DAFA" w14:textId="77777777" w:rsidR="000E418E" w:rsidRPr="000E418E" w:rsidRDefault="000E418E" w:rsidP="000E418E">
      <w:pPr>
        <w:rPr>
          <w:bCs/>
          <w:lang w:val="en-IN"/>
        </w:rPr>
      </w:pPr>
      <w:r w:rsidRPr="000E418E">
        <w:rPr>
          <w:bCs/>
          <w:lang w:val="en-IN"/>
        </w:rPr>
        <w:t>Table of Content</w:t>
      </w:r>
    </w:p>
    <w:p w14:paraId="00E28702" w14:textId="77777777" w:rsidR="000E418E" w:rsidRPr="000E418E" w:rsidRDefault="000E418E" w:rsidP="000E418E">
      <w:pPr>
        <w:rPr>
          <w:bCs/>
          <w:lang w:val="en-IN"/>
        </w:rPr>
      </w:pPr>
      <w:r w:rsidRPr="000E418E">
        <w:rPr>
          <w:b/>
          <w:bCs/>
          <w:lang w:val="en-IN"/>
        </w:rPr>
        <w:t>1. Executive Summary</w:t>
      </w:r>
    </w:p>
    <w:p w14:paraId="0D621792" w14:textId="77777777" w:rsidR="000E418E" w:rsidRPr="000E418E" w:rsidRDefault="000E418E" w:rsidP="000E418E">
      <w:pPr>
        <w:rPr>
          <w:bCs/>
          <w:lang w:val="en-IN"/>
        </w:rPr>
      </w:pPr>
      <w:r w:rsidRPr="000E418E">
        <w:rPr>
          <w:bCs/>
          <w:lang w:val="en-IN"/>
        </w:rPr>
        <w:t>    1.1. Global Market Outlook</w:t>
      </w:r>
    </w:p>
    <w:p w14:paraId="072EE63B" w14:textId="77777777" w:rsidR="000E418E" w:rsidRPr="000E418E" w:rsidRDefault="000E418E" w:rsidP="000E418E">
      <w:pPr>
        <w:rPr>
          <w:bCs/>
          <w:lang w:val="en-IN"/>
        </w:rPr>
      </w:pPr>
      <w:r w:rsidRPr="000E418E">
        <w:rPr>
          <w:bCs/>
          <w:lang w:val="en-IN"/>
        </w:rPr>
        <w:t>    1.2. Demand Side Trends</w:t>
      </w:r>
    </w:p>
    <w:p w14:paraId="2D43082A" w14:textId="77777777" w:rsidR="000E418E" w:rsidRPr="000E418E" w:rsidRDefault="000E418E" w:rsidP="000E418E">
      <w:pPr>
        <w:rPr>
          <w:bCs/>
          <w:lang w:val="en-IN"/>
        </w:rPr>
      </w:pPr>
      <w:r w:rsidRPr="000E418E">
        <w:rPr>
          <w:bCs/>
          <w:lang w:val="en-IN"/>
        </w:rPr>
        <w:t>    1.3. Supply Side Trends</w:t>
      </w:r>
    </w:p>
    <w:p w14:paraId="7F9D0138" w14:textId="77777777" w:rsidR="000E418E" w:rsidRPr="000E418E" w:rsidRDefault="000E418E" w:rsidP="000E418E">
      <w:pPr>
        <w:rPr>
          <w:bCs/>
          <w:lang w:val="en-IN"/>
        </w:rPr>
      </w:pPr>
      <w:r w:rsidRPr="000E418E">
        <w:rPr>
          <w:bCs/>
          <w:lang w:val="en-IN"/>
        </w:rPr>
        <w:t>    1.4. Analysis and Recommendations</w:t>
      </w:r>
    </w:p>
    <w:p w14:paraId="4544AE41" w14:textId="77777777" w:rsidR="000E418E" w:rsidRPr="000E418E" w:rsidRDefault="000E418E" w:rsidP="000E418E">
      <w:pPr>
        <w:rPr>
          <w:bCs/>
          <w:lang w:val="en-IN"/>
        </w:rPr>
      </w:pPr>
      <w:r w:rsidRPr="000E418E">
        <w:rPr>
          <w:b/>
          <w:bCs/>
          <w:lang w:val="en-IN"/>
        </w:rPr>
        <w:t>2. Market Overview</w:t>
      </w:r>
    </w:p>
    <w:p w14:paraId="76DDBADE" w14:textId="77777777" w:rsidR="000E418E" w:rsidRPr="000E418E" w:rsidRDefault="000E418E" w:rsidP="000E418E">
      <w:pPr>
        <w:rPr>
          <w:bCs/>
          <w:lang w:val="en-IN"/>
        </w:rPr>
      </w:pPr>
      <w:r w:rsidRPr="000E418E">
        <w:rPr>
          <w:bCs/>
          <w:lang w:val="en-IN"/>
        </w:rPr>
        <w:t>    2.1. Market Coverage / Taxonomy</w:t>
      </w:r>
    </w:p>
    <w:p w14:paraId="3356CCE3" w14:textId="77777777" w:rsidR="000E418E" w:rsidRPr="000E418E" w:rsidRDefault="000E418E" w:rsidP="000E418E">
      <w:pPr>
        <w:rPr>
          <w:bCs/>
          <w:lang w:val="en-IN"/>
        </w:rPr>
      </w:pPr>
      <w:r w:rsidRPr="000E418E">
        <w:rPr>
          <w:bCs/>
          <w:lang w:val="en-IN"/>
        </w:rPr>
        <w:t>    2.2. Market Definition / Scope / Limitations</w:t>
      </w:r>
    </w:p>
    <w:p w14:paraId="23FEEC38" w14:textId="77777777" w:rsidR="000E418E" w:rsidRPr="000E418E" w:rsidRDefault="000E418E" w:rsidP="000E418E">
      <w:pPr>
        <w:rPr>
          <w:bCs/>
          <w:lang w:val="en-IN"/>
        </w:rPr>
      </w:pPr>
      <w:r w:rsidRPr="000E418E">
        <w:rPr>
          <w:bCs/>
          <w:lang w:val="en-IN"/>
        </w:rPr>
        <w:t>    2.3. Inclusions and Exclusions</w:t>
      </w:r>
    </w:p>
    <w:p w14:paraId="05B8EC53" w14:textId="77777777" w:rsidR="000E418E" w:rsidRPr="000E418E" w:rsidRDefault="000E418E" w:rsidP="000E418E">
      <w:pPr>
        <w:rPr>
          <w:bCs/>
          <w:lang w:val="en-IN"/>
        </w:rPr>
      </w:pPr>
      <w:r w:rsidRPr="000E418E">
        <w:rPr>
          <w:b/>
          <w:bCs/>
          <w:lang w:val="en-IN"/>
        </w:rPr>
        <w:t>3. Key Market Trends</w:t>
      </w:r>
    </w:p>
    <w:p w14:paraId="224EE6AC" w14:textId="77777777" w:rsidR="000E418E" w:rsidRPr="000E418E" w:rsidRDefault="000E418E" w:rsidP="000E418E">
      <w:pPr>
        <w:rPr>
          <w:bCs/>
          <w:lang w:val="en-IN"/>
        </w:rPr>
      </w:pPr>
      <w:r w:rsidRPr="000E418E">
        <w:rPr>
          <w:bCs/>
          <w:lang w:val="en-IN"/>
        </w:rPr>
        <w:t>    3.1. Key Trends Impacting the Market</w:t>
      </w:r>
    </w:p>
    <w:p w14:paraId="47F42901" w14:textId="77777777" w:rsidR="000E418E" w:rsidRPr="000E418E" w:rsidRDefault="000E418E" w:rsidP="000E418E">
      <w:pPr>
        <w:rPr>
          <w:bCs/>
          <w:lang w:val="en-IN"/>
        </w:rPr>
      </w:pPr>
      <w:r w:rsidRPr="000E418E">
        <w:rPr>
          <w:bCs/>
          <w:lang w:val="en-IN"/>
        </w:rPr>
        <w:t>    3.2. Product Innovation / Development Trends</w:t>
      </w:r>
    </w:p>
    <w:p w14:paraId="418373B1" w14:textId="1F5737C0" w:rsidR="000E418E" w:rsidRPr="000E418E" w:rsidRDefault="00112BDA" w:rsidP="000E418E">
      <w:pPr>
        <w:rPr>
          <w:bCs/>
          <w:lang w:val="en-IN"/>
        </w:rPr>
      </w:pPr>
      <w:hyperlink r:id="rId9" w:history="1">
        <w:r w:rsidRPr="00112BDA">
          <w:rPr>
            <w:rStyle w:val="Hyperlink"/>
            <w:bCs/>
            <w:lang w:val="en-IN"/>
          </w:rPr>
          <w:t>TOC Continued…</w:t>
        </w:r>
      </w:hyperlink>
    </w:p>
    <w:p w14:paraId="361FA568" w14:textId="6174B6BA" w:rsidR="00EF292E" w:rsidRDefault="00EF292E" w:rsidP="00EF292E">
      <w:r w:rsidRPr="00722173">
        <w:rPr>
          <w:b/>
          <w:bCs/>
        </w:rPr>
        <w:lastRenderedPageBreak/>
        <w:t>More Insights into</w:t>
      </w:r>
      <w:r>
        <w:rPr>
          <w:b/>
          <w:bCs/>
        </w:rPr>
        <w:t xml:space="preserve"> </w:t>
      </w:r>
      <w:r w:rsidRPr="000275E6">
        <w:rPr>
          <w:b/>
          <w:bCs/>
        </w:rPr>
        <w:t>the</w:t>
      </w:r>
      <w:r w:rsidRPr="00EF292E">
        <w:t xml:space="preserve"> </w:t>
      </w:r>
      <w:r w:rsidRPr="00E95373">
        <w:rPr>
          <w:b/>
          <w:bCs/>
        </w:rPr>
        <w:t>Vascular Access Catheters Market</w:t>
      </w:r>
    </w:p>
    <w:p w14:paraId="0936014B" w14:textId="2BA6C7FB" w:rsidR="00EF292E" w:rsidRPr="00E95373" w:rsidRDefault="00E95373">
      <w:r w:rsidRPr="00E95373">
        <w:t xml:space="preserve">The U.S. has dominated the North American vascular access catheters market in 2021 with </w:t>
      </w:r>
      <w:r w:rsidR="0093321C">
        <w:t>a</w:t>
      </w:r>
      <w:r w:rsidRPr="00E95373">
        <w:t xml:space="preserve"> regional revenue share of nearly 86% and is expected to grow over a CAGR of 6.4 % during the forecast period.</w:t>
      </w:r>
      <w:r w:rsidR="00EF292E" w:rsidRPr="00E95373">
        <w:t xml:space="preserve"> </w:t>
      </w:r>
    </w:p>
    <w:p w14:paraId="5B399162" w14:textId="578BAD23" w:rsidR="00EF292E" w:rsidRDefault="0093321C">
      <w:r>
        <w:t xml:space="preserve">The </w:t>
      </w:r>
      <w:r w:rsidR="00E95373">
        <w:t xml:space="preserve">European region is anticipated to account for around 22.2% of the total market share over the projection period due to </w:t>
      </w:r>
      <w:r>
        <w:t xml:space="preserve">the </w:t>
      </w:r>
      <w:r w:rsidR="00E95373" w:rsidRPr="00E95373">
        <w:t>rising number of cancer cases</w:t>
      </w:r>
      <w:r w:rsidR="00E95373">
        <w:t xml:space="preserve"> in the region. </w:t>
      </w:r>
    </w:p>
    <w:p w14:paraId="14B50CDB" w14:textId="5C672356" w:rsidR="00891E8C" w:rsidRDefault="00112BDA">
      <w:r w:rsidRPr="00FF0430">
        <w:rPr>
          <w:rFonts w:ascii="Times" w:hAnsi="Times" w:cs="Times"/>
          <w:b/>
          <w:bCs/>
          <w:sz w:val="28"/>
          <w:szCs w:val="28"/>
        </w:rPr>
        <w:t xml:space="preserve">Have a Look at Related Reports of </w:t>
      </w:r>
      <w:hyperlink r:id="rId10" w:history="1">
        <w:r w:rsidRPr="00112BDA">
          <w:rPr>
            <w:rStyle w:val="Hyperlink"/>
            <w:rFonts w:ascii="Times" w:hAnsi="Times" w:cs="Times"/>
            <w:b/>
            <w:sz w:val="28"/>
            <w:szCs w:val="28"/>
          </w:rPr>
          <w:t>Healthcare</w:t>
        </w:r>
      </w:hyperlink>
      <w:r w:rsidRPr="00FF0430">
        <w:rPr>
          <w:rFonts w:ascii="Times" w:hAnsi="Times" w:cs="Times"/>
          <w:b/>
          <w:bCs/>
          <w:sz w:val="28"/>
          <w:szCs w:val="28"/>
        </w:rPr>
        <w:t xml:space="preserve"> Domain</w:t>
      </w:r>
    </w:p>
    <w:p w14:paraId="6B34C54B" w14:textId="33326582" w:rsidR="00E702E8" w:rsidRPr="00E702E8" w:rsidRDefault="00E702E8" w:rsidP="00E702E8">
      <w:hyperlink r:id="rId11" w:history="1">
        <w:r w:rsidRPr="00E702E8">
          <w:rPr>
            <w:rStyle w:val="Hyperlink"/>
            <w:lang w:val="en-IN"/>
          </w:rPr>
          <w:t>Exonucleases Market</w:t>
        </w:r>
      </w:hyperlink>
      <w:r>
        <w:rPr>
          <w:lang w:val="en-IN"/>
        </w:rPr>
        <w:t xml:space="preserve">: </w:t>
      </w:r>
      <w:r w:rsidRPr="00E702E8">
        <w:t>The </w:t>
      </w:r>
      <w:r w:rsidRPr="00E702E8">
        <w:rPr>
          <w:b/>
          <w:bCs/>
        </w:rPr>
        <w:t>exonucleases market </w:t>
      </w:r>
      <w:r w:rsidRPr="00E702E8">
        <w:t xml:space="preserve">is likely to record a CAGR of 2.3% during the forecast period. The market is projected to be valued at US$ 162.6 </w:t>
      </w:r>
      <w:proofErr w:type="spellStart"/>
      <w:r w:rsidRPr="00E702E8">
        <w:t>Mn</w:t>
      </w:r>
      <w:proofErr w:type="spellEnd"/>
      <w:r w:rsidRPr="00E702E8">
        <w:t xml:space="preserve"> in 2022 and is likely to be valued at US$ 208.1 </w:t>
      </w:r>
      <w:proofErr w:type="spellStart"/>
      <w:r w:rsidRPr="00E702E8">
        <w:t>Mn</w:t>
      </w:r>
      <w:proofErr w:type="spellEnd"/>
      <w:r w:rsidRPr="00E702E8">
        <w:t xml:space="preserve"> by 2032.</w:t>
      </w:r>
    </w:p>
    <w:p w14:paraId="4270E0E7" w14:textId="2A64C9A7" w:rsidR="00E702E8" w:rsidRPr="00E702E8" w:rsidRDefault="00E702E8" w:rsidP="00E702E8">
      <w:pPr>
        <w:rPr>
          <w:lang w:val="en-IN"/>
        </w:rPr>
      </w:pPr>
      <w:hyperlink r:id="rId12" w:history="1">
        <w:r w:rsidRPr="00E702E8">
          <w:rPr>
            <w:rStyle w:val="Hyperlink"/>
            <w:lang w:val="en-IN"/>
          </w:rPr>
          <w:t>Dental Fluoride Varnish Market</w:t>
        </w:r>
      </w:hyperlink>
      <w:r>
        <w:rPr>
          <w:lang w:val="en-IN"/>
        </w:rPr>
        <w:t xml:space="preserve">: </w:t>
      </w:r>
      <w:r w:rsidRPr="00E702E8">
        <w:t>The global </w:t>
      </w:r>
      <w:r w:rsidRPr="00E702E8">
        <w:rPr>
          <w:b/>
          <w:bCs/>
        </w:rPr>
        <w:t>dental fluoride varnish market </w:t>
      </w:r>
      <w:r w:rsidRPr="00E702E8">
        <w:t>is expected to enjoy a valuation of </w:t>
      </w:r>
      <w:r w:rsidRPr="00E702E8">
        <w:rPr>
          <w:b/>
          <w:bCs/>
        </w:rPr>
        <w:t xml:space="preserve">US$ 156.5 </w:t>
      </w:r>
      <w:proofErr w:type="spellStart"/>
      <w:r w:rsidRPr="00E702E8">
        <w:rPr>
          <w:b/>
          <w:bCs/>
        </w:rPr>
        <w:t>Mn</w:t>
      </w:r>
      <w:proofErr w:type="spellEnd"/>
      <w:r w:rsidRPr="00E702E8">
        <w:t> by the end of the year 2022, and further expand at a CAGR rate of </w:t>
      </w:r>
      <w:r w:rsidRPr="00E702E8">
        <w:rPr>
          <w:b/>
          <w:bCs/>
        </w:rPr>
        <w:t>3.9% </w:t>
      </w:r>
      <w:r w:rsidRPr="00E702E8">
        <w:t>to reach a valuation of </w:t>
      </w:r>
      <w:r w:rsidRPr="00E702E8">
        <w:rPr>
          <w:b/>
          <w:bCs/>
        </w:rPr>
        <w:t xml:space="preserve">~US$ 229.3 </w:t>
      </w:r>
      <w:proofErr w:type="spellStart"/>
      <w:r w:rsidRPr="00E702E8">
        <w:rPr>
          <w:b/>
          <w:bCs/>
        </w:rPr>
        <w:t>Mn</w:t>
      </w:r>
      <w:proofErr w:type="spellEnd"/>
      <w:r w:rsidRPr="00E702E8">
        <w:t> by the year 2032.</w:t>
      </w:r>
    </w:p>
    <w:p w14:paraId="1DB43F8D" w14:textId="6BBAA3F0" w:rsidR="00E702E8" w:rsidRPr="00E702E8" w:rsidRDefault="00E702E8" w:rsidP="00E702E8">
      <w:pPr>
        <w:rPr>
          <w:lang w:val="en-IN"/>
        </w:rPr>
      </w:pPr>
      <w:hyperlink r:id="rId13" w:history="1">
        <w:r w:rsidRPr="00E702E8">
          <w:rPr>
            <w:rStyle w:val="Hyperlink"/>
            <w:lang w:val="en-IN"/>
          </w:rPr>
          <w:t>Outsourced Testing Services Market</w:t>
        </w:r>
      </w:hyperlink>
      <w:r>
        <w:rPr>
          <w:lang w:val="en-IN"/>
        </w:rPr>
        <w:t xml:space="preserve">: </w:t>
      </w:r>
      <w:r w:rsidRPr="00E702E8">
        <w:t>The global </w:t>
      </w:r>
      <w:r w:rsidRPr="00E702E8">
        <w:rPr>
          <w:b/>
          <w:bCs/>
        </w:rPr>
        <w:t>outsourced testing services market </w:t>
      </w:r>
      <w:r w:rsidRPr="00E702E8">
        <w:t>is set to enjoy a valuation of </w:t>
      </w:r>
      <w:r w:rsidRPr="00E702E8">
        <w:rPr>
          <w:b/>
          <w:bCs/>
        </w:rPr>
        <w:t xml:space="preserve">US$ 36.4 </w:t>
      </w:r>
      <w:proofErr w:type="spellStart"/>
      <w:r w:rsidRPr="00E702E8">
        <w:rPr>
          <w:b/>
          <w:bCs/>
        </w:rPr>
        <w:t>Bn</w:t>
      </w:r>
      <w:proofErr w:type="spellEnd"/>
      <w:r w:rsidRPr="00E702E8">
        <w:t> in 2022, and further expand at a CAGR of</w:t>
      </w:r>
      <w:r w:rsidRPr="00E702E8">
        <w:rPr>
          <w:b/>
          <w:bCs/>
        </w:rPr>
        <w:t> 7.7%</w:t>
      </w:r>
      <w:r w:rsidRPr="00E702E8">
        <w:t> to reach </w:t>
      </w:r>
      <w:r w:rsidRPr="00E702E8">
        <w:rPr>
          <w:b/>
          <w:bCs/>
        </w:rPr>
        <w:t xml:space="preserve">US$ 76.3 </w:t>
      </w:r>
      <w:proofErr w:type="spellStart"/>
      <w:r w:rsidRPr="00E702E8">
        <w:rPr>
          <w:b/>
          <w:bCs/>
        </w:rPr>
        <w:t>Bn</w:t>
      </w:r>
      <w:proofErr w:type="spellEnd"/>
      <w:r w:rsidRPr="00E702E8">
        <w:rPr>
          <w:b/>
          <w:bCs/>
        </w:rPr>
        <w:t> </w:t>
      </w:r>
      <w:r w:rsidRPr="00E702E8">
        <w:t>by the year 2032.</w:t>
      </w:r>
    </w:p>
    <w:p w14:paraId="7DE9D1FF" w14:textId="72D6006D" w:rsidR="00E702E8" w:rsidRPr="00E702E8" w:rsidRDefault="00E702E8" w:rsidP="00E702E8">
      <w:pPr>
        <w:rPr>
          <w:lang w:val="en-IN"/>
        </w:rPr>
      </w:pPr>
      <w:hyperlink r:id="rId14" w:history="1">
        <w:r w:rsidRPr="00E702E8">
          <w:rPr>
            <w:rStyle w:val="Hyperlink"/>
            <w:lang w:val="en-IN"/>
          </w:rPr>
          <w:t>Diagnostic X-Ray System Market</w:t>
        </w:r>
      </w:hyperlink>
      <w:r>
        <w:rPr>
          <w:lang w:val="en-IN"/>
        </w:rPr>
        <w:t xml:space="preserve">: </w:t>
      </w:r>
      <w:r w:rsidRPr="00E702E8">
        <w:t>The global </w:t>
      </w:r>
      <w:r w:rsidRPr="00E702E8">
        <w:rPr>
          <w:b/>
          <w:bCs/>
        </w:rPr>
        <w:t>diagnostic x-ray system market</w:t>
      </w:r>
      <w:r w:rsidRPr="00E702E8">
        <w:t> is expected to enjoy a valuation of </w:t>
      </w:r>
      <w:r w:rsidRPr="00E702E8">
        <w:rPr>
          <w:b/>
          <w:bCs/>
        </w:rPr>
        <w:t xml:space="preserve">US$  11.30 </w:t>
      </w:r>
      <w:proofErr w:type="spellStart"/>
      <w:r w:rsidRPr="00E702E8">
        <w:rPr>
          <w:b/>
          <w:bCs/>
        </w:rPr>
        <w:t>Bn</w:t>
      </w:r>
      <w:proofErr w:type="spellEnd"/>
      <w:r w:rsidRPr="00E702E8">
        <w:t> by the end of the year 2022, and further expand at a CAGR rate of </w:t>
      </w:r>
      <w:r w:rsidRPr="00E702E8">
        <w:rPr>
          <w:b/>
          <w:bCs/>
        </w:rPr>
        <w:t>6.1% </w:t>
      </w:r>
      <w:r w:rsidRPr="00E702E8">
        <w:t>to reach a valuation of </w:t>
      </w:r>
      <w:r w:rsidRPr="00E702E8">
        <w:rPr>
          <w:b/>
          <w:bCs/>
        </w:rPr>
        <w:t xml:space="preserve">~US$ 20.46 </w:t>
      </w:r>
      <w:proofErr w:type="spellStart"/>
      <w:r w:rsidRPr="00E702E8">
        <w:rPr>
          <w:b/>
          <w:bCs/>
        </w:rPr>
        <w:t>Bn</w:t>
      </w:r>
      <w:proofErr w:type="spellEnd"/>
      <w:r w:rsidRPr="00E702E8">
        <w:t> by the year 2032.</w:t>
      </w:r>
    </w:p>
    <w:p w14:paraId="34E2FD84" w14:textId="1203BF9D" w:rsidR="00E702E8" w:rsidRPr="00E702E8" w:rsidRDefault="00E702E8" w:rsidP="00E702E8">
      <w:pPr>
        <w:rPr>
          <w:lang w:val="en-IN"/>
        </w:rPr>
      </w:pPr>
      <w:hyperlink r:id="rId15" w:history="1">
        <w:r w:rsidRPr="00E702E8">
          <w:rPr>
            <w:rStyle w:val="Hyperlink"/>
            <w:lang w:val="en-IN"/>
          </w:rPr>
          <w:t xml:space="preserve">Electric </w:t>
        </w:r>
        <w:proofErr w:type="spellStart"/>
        <w:r w:rsidRPr="00E702E8">
          <w:rPr>
            <w:rStyle w:val="Hyperlink"/>
            <w:lang w:val="en-IN"/>
          </w:rPr>
          <w:t>Handpiece</w:t>
        </w:r>
        <w:proofErr w:type="spellEnd"/>
        <w:r w:rsidRPr="00E702E8">
          <w:rPr>
            <w:rStyle w:val="Hyperlink"/>
            <w:lang w:val="en-IN"/>
          </w:rPr>
          <w:t xml:space="preserve"> Market</w:t>
        </w:r>
      </w:hyperlink>
      <w:r>
        <w:rPr>
          <w:lang w:val="en-IN"/>
        </w:rPr>
        <w:t xml:space="preserve">: </w:t>
      </w:r>
      <w:r w:rsidRPr="00E702E8">
        <w:t>The global </w:t>
      </w:r>
      <w:r w:rsidRPr="00E702E8">
        <w:rPr>
          <w:b/>
          <w:bCs/>
        </w:rPr>
        <w:t xml:space="preserve">electric </w:t>
      </w:r>
      <w:proofErr w:type="spellStart"/>
      <w:r w:rsidRPr="00E702E8">
        <w:rPr>
          <w:b/>
          <w:bCs/>
        </w:rPr>
        <w:t>handpiece</w:t>
      </w:r>
      <w:proofErr w:type="spellEnd"/>
      <w:r w:rsidRPr="00E702E8">
        <w:rPr>
          <w:b/>
          <w:bCs/>
        </w:rPr>
        <w:t xml:space="preserve"> market </w:t>
      </w:r>
      <w:r w:rsidRPr="00E702E8">
        <w:t>is expected to enjoy a valuation of </w:t>
      </w:r>
      <w:r w:rsidRPr="00E702E8">
        <w:rPr>
          <w:b/>
          <w:bCs/>
        </w:rPr>
        <w:t xml:space="preserve">US$ 448.4 </w:t>
      </w:r>
      <w:proofErr w:type="spellStart"/>
      <w:r w:rsidRPr="00E702E8">
        <w:rPr>
          <w:b/>
          <w:bCs/>
        </w:rPr>
        <w:t>Mn</w:t>
      </w:r>
      <w:proofErr w:type="spellEnd"/>
      <w:r w:rsidRPr="00E702E8">
        <w:t> in 2022, and further expand at a CAGR rate of </w:t>
      </w:r>
      <w:r w:rsidRPr="00E702E8">
        <w:rPr>
          <w:b/>
          <w:bCs/>
        </w:rPr>
        <w:t>6.0%</w:t>
      </w:r>
      <w:r w:rsidRPr="00E702E8">
        <w:t> to reach a valuation of </w:t>
      </w:r>
      <w:r w:rsidRPr="00E702E8">
        <w:rPr>
          <w:b/>
          <w:bCs/>
        </w:rPr>
        <w:t xml:space="preserve">~US$ 803.8 </w:t>
      </w:r>
      <w:proofErr w:type="spellStart"/>
      <w:r w:rsidRPr="00E702E8">
        <w:rPr>
          <w:b/>
          <w:bCs/>
        </w:rPr>
        <w:t>Mn</w:t>
      </w:r>
      <w:proofErr w:type="spellEnd"/>
      <w:r w:rsidRPr="00E702E8">
        <w:rPr>
          <w:b/>
          <w:bCs/>
        </w:rPr>
        <w:t> </w:t>
      </w:r>
      <w:r w:rsidRPr="00E702E8">
        <w:t>by the end of the year 2032.</w:t>
      </w:r>
    </w:p>
    <w:p w14:paraId="7CCA8441" w14:textId="5C6BE33B" w:rsidR="00E702E8" w:rsidRPr="00E702E8" w:rsidRDefault="00E702E8" w:rsidP="00E702E8">
      <w:pPr>
        <w:rPr>
          <w:lang w:val="en-IN"/>
        </w:rPr>
      </w:pPr>
      <w:hyperlink r:id="rId16" w:history="1">
        <w:r w:rsidRPr="00E702E8">
          <w:rPr>
            <w:rStyle w:val="Hyperlink"/>
            <w:lang w:val="en-IN"/>
          </w:rPr>
          <w:t>Anti-Adhesion Barrier Gels Market</w:t>
        </w:r>
      </w:hyperlink>
      <w:r>
        <w:rPr>
          <w:lang w:val="en-IN"/>
        </w:rPr>
        <w:t xml:space="preserve">: </w:t>
      </w:r>
      <w:r w:rsidRPr="00E702E8">
        <w:t>The global </w:t>
      </w:r>
      <w:r w:rsidRPr="00E702E8">
        <w:rPr>
          <w:b/>
          <w:bCs/>
        </w:rPr>
        <w:t>anti-adhesion barrier gels market</w:t>
      </w:r>
      <w:r w:rsidRPr="00E702E8">
        <w:t> is estimated to enjoy a valuation of </w:t>
      </w:r>
      <w:r w:rsidRPr="00E702E8">
        <w:rPr>
          <w:b/>
          <w:bCs/>
        </w:rPr>
        <w:t xml:space="preserve">US$ 93.42 </w:t>
      </w:r>
      <w:proofErr w:type="spellStart"/>
      <w:r w:rsidRPr="00E702E8">
        <w:rPr>
          <w:b/>
          <w:bCs/>
        </w:rPr>
        <w:t>Mn</w:t>
      </w:r>
      <w:proofErr w:type="spellEnd"/>
      <w:r w:rsidRPr="00E702E8">
        <w:t> in 2021, and it is further projected to expand at a CAGR of </w:t>
      </w:r>
      <w:r w:rsidRPr="00E702E8">
        <w:rPr>
          <w:b/>
          <w:bCs/>
        </w:rPr>
        <w:t>8.4% </w:t>
      </w:r>
      <w:r w:rsidRPr="00E702E8">
        <w:t>over the forecasted years.</w:t>
      </w:r>
    </w:p>
    <w:p w14:paraId="2736821B" w14:textId="61667471" w:rsidR="00E702E8" w:rsidRPr="00E702E8" w:rsidRDefault="00E702E8" w:rsidP="00E702E8">
      <w:pPr>
        <w:rPr>
          <w:lang w:val="en-IN"/>
        </w:rPr>
      </w:pPr>
      <w:hyperlink r:id="rId17" w:history="1">
        <w:r w:rsidRPr="00E702E8">
          <w:rPr>
            <w:rStyle w:val="Hyperlink"/>
            <w:lang w:val="en-IN"/>
          </w:rPr>
          <w:t>Ambulatory Polysomnography (PSG) Systems Market</w:t>
        </w:r>
      </w:hyperlink>
      <w:r>
        <w:rPr>
          <w:lang w:val="en-IN"/>
        </w:rPr>
        <w:t xml:space="preserve">: </w:t>
      </w:r>
      <w:r w:rsidRPr="00E702E8">
        <w:t>The global </w:t>
      </w:r>
      <w:r w:rsidRPr="00E702E8">
        <w:rPr>
          <w:b/>
          <w:bCs/>
        </w:rPr>
        <w:t>ambulatory polysomnography (PSG) systems market </w:t>
      </w:r>
      <w:r w:rsidRPr="00E702E8">
        <w:t>is expected to enjoy a valuation of </w:t>
      </w:r>
      <w:r w:rsidRPr="00E702E8">
        <w:rPr>
          <w:b/>
          <w:bCs/>
        </w:rPr>
        <w:t xml:space="preserve">US$ 311.2 </w:t>
      </w:r>
      <w:proofErr w:type="spellStart"/>
      <w:r w:rsidRPr="00E702E8">
        <w:rPr>
          <w:b/>
          <w:bCs/>
        </w:rPr>
        <w:t>Mn</w:t>
      </w:r>
      <w:proofErr w:type="spellEnd"/>
      <w:r w:rsidRPr="00E702E8">
        <w:t> in the year 2022, and further expand at a CAGR rate of </w:t>
      </w:r>
      <w:r w:rsidRPr="00E702E8">
        <w:rPr>
          <w:b/>
          <w:bCs/>
        </w:rPr>
        <w:t>5.2%</w:t>
      </w:r>
      <w:r w:rsidRPr="00E702E8">
        <w:t> to reach a valuation of </w:t>
      </w:r>
      <w:r w:rsidRPr="00E702E8">
        <w:rPr>
          <w:b/>
          <w:bCs/>
        </w:rPr>
        <w:t xml:space="preserve">~US$ 516.9 </w:t>
      </w:r>
      <w:proofErr w:type="spellStart"/>
      <w:r w:rsidRPr="00E702E8">
        <w:rPr>
          <w:b/>
          <w:bCs/>
        </w:rPr>
        <w:t>Mn</w:t>
      </w:r>
      <w:proofErr w:type="spellEnd"/>
      <w:r w:rsidRPr="00E702E8">
        <w:t> by the year 2032.</w:t>
      </w:r>
    </w:p>
    <w:p w14:paraId="345052CF" w14:textId="71C103BC" w:rsidR="00E702E8" w:rsidRPr="00E702E8" w:rsidRDefault="00E702E8" w:rsidP="00E702E8">
      <w:pPr>
        <w:rPr>
          <w:lang w:val="en-IN"/>
        </w:rPr>
      </w:pPr>
      <w:hyperlink r:id="rId18" w:history="1">
        <w:r w:rsidRPr="00E702E8">
          <w:rPr>
            <w:rStyle w:val="Hyperlink"/>
            <w:lang w:val="en-IN"/>
          </w:rPr>
          <w:t>Surgical Sutures Market</w:t>
        </w:r>
      </w:hyperlink>
      <w:r>
        <w:rPr>
          <w:lang w:val="en-IN"/>
        </w:rPr>
        <w:t xml:space="preserve">: </w:t>
      </w:r>
      <w:r w:rsidRPr="00E702E8">
        <w:t>The global </w:t>
      </w:r>
      <w:r w:rsidRPr="00E702E8">
        <w:rPr>
          <w:b/>
          <w:bCs/>
        </w:rPr>
        <w:t>surgical sutures market </w:t>
      </w:r>
      <w:r w:rsidRPr="00E702E8">
        <w:t>is expected to enjoy a valuation of </w:t>
      </w:r>
      <w:r w:rsidRPr="00E702E8">
        <w:rPr>
          <w:b/>
          <w:bCs/>
        </w:rPr>
        <w:t xml:space="preserve">US$ 8.2 </w:t>
      </w:r>
      <w:proofErr w:type="spellStart"/>
      <w:r w:rsidRPr="00E702E8">
        <w:rPr>
          <w:b/>
          <w:bCs/>
        </w:rPr>
        <w:t>Bn</w:t>
      </w:r>
      <w:proofErr w:type="spellEnd"/>
      <w:r w:rsidRPr="00E702E8">
        <w:t> by the end of the year 2022, and further expand at a CAGR rate of </w:t>
      </w:r>
      <w:r w:rsidRPr="00E702E8">
        <w:rPr>
          <w:b/>
          <w:bCs/>
        </w:rPr>
        <w:t>5.4%</w:t>
      </w:r>
      <w:r w:rsidRPr="00E702E8">
        <w:t> to reach a valuation of </w:t>
      </w:r>
      <w:r w:rsidRPr="00E702E8">
        <w:rPr>
          <w:b/>
          <w:bCs/>
        </w:rPr>
        <w:t xml:space="preserve">~US$ 13.9 </w:t>
      </w:r>
      <w:proofErr w:type="spellStart"/>
      <w:r w:rsidRPr="00E702E8">
        <w:rPr>
          <w:b/>
          <w:bCs/>
        </w:rPr>
        <w:t>Bn</w:t>
      </w:r>
      <w:proofErr w:type="spellEnd"/>
      <w:r w:rsidRPr="00E702E8">
        <w:t> by the year 2032.</w:t>
      </w:r>
    </w:p>
    <w:p w14:paraId="08D5CC98" w14:textId="46AFC12E" w:rsidR="00E702E8" w:rsidRPr="00E702E8" w:rsidRDefault="00E702E8" w:rsidP="00E702E8">
      <w:pPr>
        <w:rPr>
          <w:lang w:val="en-IN"/>
        </w:rPr>
      </w:pPr>
      <w:hyperlink r:id="rId19" w:history="1">
        <w:r w:rsidRPr="00E702E8">
          <w:rPr>
            <w:rStyle w:val="Hyperlink"/>
            <w:lang w:val="en-IN"/>
          </w:rPr>
          <w:t>Clot Busting Drugs Market</w:t>
        </w:r>
      </w:hyperlink>
      <w:r>
        <w:rPr>
          <w:lang w:val="en-IN"/>
        </w:rPr>
        <w:t xml:space="preserve">: </w:t>
      </w:r>
      <w:r w:rsidRPr="00E702E8">
        <w:t>The global</w:t>
      </w:r>
      <w:r w:rsidRPr="00E702E8">
        <w:rPr>
          <w:b/>
          <w:bCs/>
        </w:rPr>
        <w:t> clot busting drugs market</w:t>
      </w:r>
      <w:r w:rsidRPr="00E702E8">
        <w:t> is estimated to reach a market value of around </w:t>
      </w:r>
      <w:r w:rsidRPr="00E702E8">
        <w:rPr>
          <w:b/>
          <w:bCs/>
        </w:rPr>
        <w:t>US$</w:t>
      </w:r>
      <w:r w:rsidRPr="00E702E8">
        <w:t> </w:t>
      </w:r>
      <w:r w:rsidRPr="00E702E8">
        <w:rPr>
          <w:b/>
          <w:bCs/>
        </w:rPr>
        <w:t xml:space="preserve">28.8 </w:t>
      </w:r>
      <w:proofErr w:type="spellStart"/>
      <w:r w:rsidRPr="00E702E8">
        <w:rPr>
          <w:b/>
          <w:bCs/>
        </w:rPr>
        <w:t>Bn</w:t>
      </w:r>
      <w:proofErr w:type="spellEnd"/>
      <w:r w:rsidRPr="00E702E8">
        <w:rPr>
          <w:b/>
          <w:bCs/>
        </w:rPr>
        <w:t> </w:t>
      </w:r>
      <w:r w:rsidRPr="00E702E8">
        <w:t>in 2022, with the global market estimated to surge ahead at a CAGR value of </w:t>
      </w:r>
      <w:r w:rsidRPr="00E702E8">
        <w:rPr>
          <w:b/>
          <w:bCs/>
        </w:rPr>
        <w:t>7.3% </w:t>
      </w:r>
      <w:r w:rsidRPr="00E702E8">
        <w:t>to reach a valuation of </w:t>
      </w:r>
      <w:r w:rsidRPr="00E702E8">
        <w:rPr>
          <w:b/>
          <w:bCs/>
        </w:rPr>
        <w:t>US$</w:t>
      </w:r>
      <w:r w:rsidRPr="00E702E8">
        <w:t> </w:t>
      </w:r>
      <w:r w:rsidRPr="00E702E8">
        <w:rPr>
          <w:b/>
          <w:bCs/>
        </w:rPr>
        <w:t xml:space="preserve">58.4 </w:t>
      </w:r>
      <w:proofErr w:type="spellStart"/>
      <w:r w:rsidRPr="00E702E8">
        <w:rPr>
          <w:b/>
          <w:bCs/>
        </w:rPr>
        <w:t>Bn</w:t>
      </w:r>
      <w:proofErr w:type="spellEnd"/>
      <w:r w:rsidRPr="00E702E8">
        <w:t> by the end of 2032.</w:t>
      </w:r>
    </w:p>
    <w:p w14:paraId="40833AB3" w14:textId="575503FA" w:rsidR="00E702E8" w:rsidRPr="00E702E8" w:rsidRDefault="00E702E8" w:rsidP="00E702E8">
      <w:pPr>
        <w:rPr>
          <w:lang w:val="en-IN"/>
        </w:rPr>
      </w:pPr>
      <w:hyperlink r:id="rId20" w:history="1">
        <w:r w:rsidRPr="00E702E8">
          <w:rPr>
            <w:rStyle w:val="Hyperlink"/>
            <w:lang w:val="en-IN"/>
          </w:rPr>
          <w:t>Palliative Care Market</w:t>
        </w:r>
      </w:hyperlink>
      <w:r>
        <w:rPr>
          <w:lang w:val="en-IN"/>
        </w:rPr>
        <w:t xml:space="preserve">: </w:t>
      </w:r>
      <w:r w:rsidRPr="00E702E8">
        <w:t>The overall </w:t>
      </w:r>
      <w:r w:rsidRPr="00E702E8">
        <w:rPr>
          <w:b/>
          <w:bCs/>
        </w:rPr>
        <w:t>demand for Palliative Care </w:t>
      </w:r>
      <w:r w:rsidRPr="00E702E8">
        <w:t>is projected to grow at a CAGR of </w:t>
      </w:r>
      <w:r w:rsidRPr="00E702E8">
        <w:rPr>
          <w:b/>
          <w:bCs/>
        </w:rPr>
        <w:t>7.3%</w:t>
      </w:r>
      <w:r w:rsidRPr="00E702E8">
        <w:t> between 2022 and 2032, totaling around </w:t>
      </w:r>
      <w:r w:rsidRPr="00E702E8">
        <w:rPr>
          <w:b/>
          <w:bCs/>
        </w:rPr>
        <w:t>US$ 28,518.5 Million</w:t>
      </w:r>
      <w:r w:rsidRPr="00E702E8">
        <w:t> by 2032.</w:t>
      </w:r>
    </w:p>
    <w:p w14:paraId="29077A11" w14:textId="77777777" w:rsidR="00E702E8" w:rsidRPr="00E702E8" w:rsidRDefault="00E702E8" w:rsidP="00E702E8">
      <w:pPr>
        <w:rPr>
          <w:lang w:val="en-IN"/>
        </w:rPr>
      </w:pPr>
      <w:r w:rsidRPr="00E702E8">
        <w:rPr>
          <w:b/>
          <w:bCs/>
          <w:lang w:val="en-IN"/>
        </w:rPr>
        <w:t>About Future Market Insights (FMI) </w:t>
      </w:r>
    </w:p>
    <w:p w14:paraId="1EE2B279" w14:textId="77777777" w:rsidR="00E702E8" w:rsidRPr="00E702E8" w:rsidRDefault="00E702E8" w:rsidP="00E702E8">
      <w:pPr>
        <w:rPr>
          <w:lang w:val="en-IN"/>
        </w:rPr>
      </w:pPr>
      <w:hyperlink r:id="rId21" w:tgtFrame="_blank" w:tooltip="https://www.futuremarketinsights.com/" w:history="1">
        <w:r w:rsidRPr="00E702E8">
          <w:rPr>
            <w:rStyle w:val="Hyperlink"/>
            <w:lang w:val="en-IN"/>
          </w:rPr>
          <w:t>Future Market Insights</w:t>
        </w:r>
      </w:hyperlink>
      <w:r w:rsidRPr="00E702E8">
        <w:rPr>
          <w:lang w:val="en-IN"/>
        </w:rPr>
        <w:t xml:space="preserve"> (ESOMAR certified market research organization and a member of Greater New York Chamber of Commerce) provides in-depth insights into governing factors elevating the </w:t>
      </w:r>
      <w:r w:rsidRPr="00E702E8">
        <w:rPr>
          <w:lang w:val="en-IN"/>
        </w:rPr>
        <w:lastRenderedPageBreak/>
        <w:t xml:space="preserve">demand in the market. It discloses opportunities that will </w:t>
      </w:r>
      <w:proofErr w:type="spellStart"/>
      <w:r w:rsidRPr="00E702E8">
        <w:rPr>
          <w:lang w:val="en-IN"/>
        </w:rPr>
        <w:t>favor</w:t>
      </w:r>
      <w:proofErr w:type="spellEnd"/>
      <w:r w:rsidRPr="00E702E8">
        <w:rPr>
          <w:lang w:val="en-IN"/>
        </w:rPr>
        <w:t xml:space="preserve"> the market growth in various segments on the basis of Source, Application, Sales Channel and End Use over the next 10-years.</w:t>
      </w:r>
    </w:p>
    <w:p w14:paraId="7653601A" w14:textId="77777777" w:rsidR="00E702E8" w:rsidRPr="00E702E8" w:rsidRDefault="00E702E8" w:rsidP="00E702E8">
      <w:pPr>
        <w:rPr>
          <w:lang w:val="en-IN"/>
        </w:rPr>
      </w:pPr>
      <w:bookmarkStart w:id="0" w:name="_GoBack"/>
      <w:bookmarkEnd w:id="0"/>
      <w:r w:rsidRPr="00E702E8">
        <w:rPr>
          <w:b/>
          <w:bCs/>
          <w:lang w:val="en-IN"/>
        </w:rPr>
        <w:t>Contact:</w:t>
      </w:r>
    </w:p>
    <w:p w14:paraId="2F1F9F75" w14:textId="145F8602" w:rsidR="00891E8C" w:rsidRPr="00E702E8" w:rsidRDefault="00E702E8">
      <w:pPr>
        <w:rPr>
          <w:lang w:val="en-IN"/>
        </w:rPr>
      </w:pPr>
      <w:r w:rsidRPr="00E702E8">
        <w:rPr>
          <w:lang w:val="en-IN"/>
        </w:rPr>
        <w:t>Future Market Insights, Inc.</w:t>
      </w:r>
      <w:r w:rsidRPr="00E702E8">
        <w:rPr>
          <w:lang w:val="en-IN"/>
        </w:rPr>
        <w:br/>
        <w:t>Christiana Corporate, 200 Continental Drive,</w:t>
      </w:r>
      <w:r w:rsidRPr="00E702E8">
        <w:rPr>
          <w:lang w:val="en-IN"/>
        </w:rPr>
        <w:br/>
        <w:t>Suite 401, Newark, Delaware – 19713, USA</w:t>
      </w:r>
      <w:r w:rsidRPr="00E702E8">
        <w:rPr>
          <w:lang w:val="en-IN"/>
        </w:rPr>
        <w:br/>
        <w:t>T: +1-845-579-5705</w:t>
      </w:r>
      <w:r w:rsidRPr="00E702E8">
        <w:rPr>
          <w:lang w:val="en-IN"/>
        </w:rPr>
        <w:br/>
        <w:t>For Sales Enquiries: </w:t>
      </w:r>
      <w:hyperlink r:id="rId22" w:tgtFrame="_blank" w:tooltip="mailto:sales@futuremarketinsights.com" w:history="1">
        <w:r w:rsidRPr="00E702E8">
          <w:rPr>
            <w:rStyle w:val="Hyperlink"/>
            <w:lang w:val="en-IN"/>
          </w:rPr>
          <w:t>sales@futuremarketinsights.com</w:t>
        </w:r>
      </w:hyperlink>
      <w:r w:rsidRPr="00E702E8">
        <w:rPr>
          <w:lang w:val="en-IN"/>
        </w:rPr>
        <w:br/>
        <w:t>Browse All Reports: </w:t>
      </w:r>
      <w:hyperlink r:id="rId23" w:tgtFrame="_blank" w:tooltip="https://www.futuremarketinsights.com/reports" w:history="1">
        <w:r w:rsidRPr="00E702E8">
          <w:rPr>
            <w:rStyle w:val="Hyperlink"/>
            <w:lang w:val="en-IN"/>
          </w:rPr>
          <w:t>https://www.futuremarketinsights.com/reports</w:t>
        </w:r>
      </w:hyperlink>
      <w:r w:rsidRPr="00E702E8">
        <w:rPr>
          <w:lang w:val="en-IN"/>
        </w:rPr>
        <w:br/>
      </w:r>
      <w:hyperlink r:id="rId24" w:tgtFrame="_blank" w:tooltip="https://www.linkedin.com/company/future-market-insights/" w:history="1">
        <w:r w:rsidRPr="00E702E8">
          <w:rPr>
            <w:rStyle w:val="Hyperlink"/>
            <w:lang w:val="en-IN"/>
          </w:rPr>
          <w:t>LinkedIn</w:t>
        </w:r>
      </w:hyperlink>
      <w:r w:rsidRPr="00E702E8">
        <w:rPr>
          <w:lang w:val="en-IN"/>
        </w:rPr>
        <w:t>| </w:t>
      </w:r>
      <w:hyperlink r:id="rId25" w:tgtFrame="_blank" w:tooltip="https://twitter.com/FMI_Research" w:history="1">
        <w:r w:rsidRPr="00E702E8">
          <w:rPr>
            <w:rStyle w:val="Hyperlink"/>
            <w:lang w:val="en-IN"/>
          </w:rPr>
          <w:t>Twitter</w:t>
        </w:r>
      </w:hyperlink>
      <w:r w:rsidRPr="00E702E8">
        <w:rPr>
          <w:lang w:val="en-IN"/>
        </w:rPr>
        <w:t>| </w:t>
      </w:r>
      <w:hyperlink r:id="rId26" w:tgtFrame="_blank" w:tooltip="https://www.futuremarketinsights.com/blogs" w:history="1">
        <w:r w:rsidRPr="00E702E8">
          <w:rPr>
            <w:rStyle w:val="Hyperlink"/>
            <w:lang w:val="en-IN"/>
          </w:rPr>
          <w:t>Blogs</w:t>
        </w:r>
      </w:hyperlink>
    </w:p>
    <w:sectPr w:rsidR="00891E8C" w:rsidRPr="00E70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53F29"/>
    <w:multiLevelType w:val="multilevel"/>
    <w:tmpl w:val="AD72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5365B"/>
    <w:multiLevelType w:val="multilevel"/>
    <w:tmpl w:val="FE9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72370"/>
    <w:multiLevelType w:val="hybridMultilevel"/>
    <w:tmpl w:val="7A2EA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7B85C12"/>
    <w:multiLevelType w:val="multilevel"/>
    <w:tmpl w:val="D2B6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67B4E"/>
    <w:multiLevelType w:val="multilevel"/>
    <w:tmpl w:val="6B86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55F58"/>
    <w:multiLevelType w:val="multilevel"/>
    <w:tmpl w:val="0E9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wNzeyNDIxMjcxNTNX0lEKTi0uzszPAykwrAUATyGyTywAAAA="/>
  </w:docVars>
  <w:rsids>
    <w:rsidRoot w:val="00891E8C"/>
    <w:rsid w:val="000E418E"/>
    <w:rsid w:val="00112BDA"/>
    <w:rsid w:val="003D17F9"/>
    <w:rsid w:val="00442209"/>
    <w:rsid w:val="00891E8C"/>
    <w:rsid w:val="00916705"/>
    <w:rsid w:val="0093321C"/>
    <w:rsid w:val="00E702E8"/>
    <w:rsid w:val="00E95373"/>
    <w:rsid w:val="00EF29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9E46"/>
  <w15:chartTrackingRefBased/>
  <w15:docId w15:val="{51A99929-9ECC-4098-B975-A4D79207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1E8C"/>
    <w:rPr>
      <w:b/>
      <w:bCs/>
    </w:rPr>
  </w:style>
  <w:style w:type="paragraph" w:styleId="NormalWeb">
    <w:name w:val="Normal (Web)"/>
    <w:basedOn w:val="Normal"/>
    <w:uiPriority w:val="99"/>
    <w:semiHidden/>
    <w:unhideWhenUsed/>
    <w:rsid w:val="00891E8C"/>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Hyperlink">
    <w:name w:val="Hyperlink"/>
    <w:basedOn w:val="DefaultParagraphFont"/>
    <w:uiPriority w:val="99"/>
    <w:unhideWhenUsed/>
    <w:rsid w:val="0093321C"/>
    <w:rPr>
      <w:color w:val="0563C1" w:themeColor="hyperlink"/>
      <w:u w:val="single"/>
    </w:rPr>
  </w:style>
  <w:style w:type="character" w:customStyle="1" w:styleId="UnresolvedMention">
    <w:name w:val="Unresolved Mention"/>
    <w:basedOn w:val="DefaultParagraphFont"/>
    <w:uiPriority w:val="99"/>
    <w:semiHidden/>
    <w:unhideWhenUsed/>
    <w:rsid w:val="0093321C"/>
    <w:rPr>
      <w:color w:val="605E5C"/>
      <w:shd w:val="clear" w:color="auto" w:fill="E1DFDD"/>
    </w:rPr>
  </w:style>
  <w:style w:type="paragraph" w:styleId="ListParagraph">
    <w:name w:val="List Paragraph"/>
    <w:basedOn w:val="Normal"/>
    <w:uiPriority w:val="34"/>
    <w:qFormat/>
    <w:rsid w:val="00933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0013">
      <w:bodyDiv w:val="1"/>
      <w:marLeft w:val="0"/>
      <w:marRight w:val="0"/>
      <w:marTop w:val="0"/>
      <w:marBottom w:val="0"/>
      <w:divBdr>
        <w:top w:val="none" w:sz="0" w:space="0" w:color="auto"/>
        <w:left w:val="none" w:sz="0" w:space="0" w:color="auto"/>
        <w:bottom w:val="none" w:sz="0" w:space="0" w:color="auto"/>
        <w:right w:val="none" w:sz="0" w:space="0" w:color="auto"/>
      </w:divBdr>
    </w:div>
    <w:div w:id="246156988">
      <w:bodyDiv w:val="1"/>
      <w:marLeft w:val="0"/>
      <w:marRight w:val="0"/>
      <w:marTop w:val="0"/>
      <w:marBottom w:val="0"/>
      <w:divBdr>
        <w:top w:val="none" w:sz="0" w:space="0" w:color="auto"/>
        <w:left w:val="none" w:sz="0" w:space="0" w:color="auto"/>
        <w:bottom w:val="none" w:sz="0" w:space="0" w:color="auto"/>
        <w:right w:val="none" w:sz="0" w:space="0" w:color="auto"/>
      </w:divBdr>
    </w:div>
    <w:div w:id="268584127">
      <w:bodyDiv w:val="1"/>
      <w:marLeft w:val="0"/>
      <w:marRight w:val="0"/>
      <w:marTop w:val="0"/>
      <w:marBottom w:val="0"/>
      <w:divBdr>
        <w:top w:val="none" w:sz="0" w:space="0" w:color="auto"/>
        <w:left w:val="none" w:sz="0" w:space="0" w:color="auto"/>
        <w:bottom w:val="none" w:sz="0" w:space="0" w:color="auto"/>
        <w:right w:val="none" w:sz="0" w:space="0" w:color="auto"/>
      </w:divBdr>
    </w:div>
    <w:div w:id="304284454">
      <w:bodyDiv w:val="1"/>
      <w:marLeft w:val="0"/>
      <w:marRight w:val="0"/>
      <w:marTop w:val="0"/>
      <w:marBottom w:val="0"/>
      <w:divBdr>
        <w:top w:val="none" w:sz="0" w:space="0" w:color="auto"/>
        <w:left w:val="none" w:sz="0" w:space="0" w:color="auto"/>
        <w:bottom w:val="none" w:sz="0" w:space="0" w:color="auto"/>
        <w:right w:val="none" w:sz="0" w:space="0" w:color="auto"/>
      </w:divBdr>
    </w:div>
    <w:div w:id="463280183">
      <w:bodyDiv w:val="1"/>
      <w:marLeft w:val="0"/>
      <w:marRight w:val="0"/>
      <w:marTop w:val="0"/>
      <w:marBottom w:val="0"/>
      <w:divBdr>
        <w:top w:val="none" w:sz="0" w:space="0" w:color="auto"/>
        <w:left w:val="none" w:sz="0" w:space="0" w:color="auto"/>
        <w:bottom w:val="none" w:sz="0" w:space="0" w:color="auto"/>
        <w:right w:val="none" w:sz="0" w:space="0" w:color="auto"/>
      </w:divBdr>
    </w:div>
    <w:div w:id="471287712">
      <w:bodyDiv w:val="1"/>
      <w:marLeft w:val="0"/>
      <w:marRight w:val="0"/>
      <w:marTop w:val="0"/>
      <w:marBottom w:val="0"/>
      <w:divBdr>
        <w:top w:val="none" w:sz="0" w:space="0" w:color="auto"/>
        <w:left w:val="none" w:sz="0" w:space="0" w:color="auto"/>
        <w:bottom w:val="none" w:sz="0" w:space="0" w:color="auto"/>
        <w:right w:val="none" w:sz="0" w:space="0" w:color="auto"/>
      </w:divBdr>
    </w:div>
    <w:div w:id="509150642">
      <w:bodyDiv w:val="1"/>
      <w:marLeft w:val="0"/>
      <w:marRight w:val="0"/>
      <w:marTop w:val="0"/>
      <w:marBottom w:val="0"/>
      <w:divBdr>
        <w:top w:val="none" w:sz="0" w:space="0" w:color="auto"/>
        <w:left w:val="none" w:sz="0" w:space="0" w:color="auto"/>
        <w:bottom w:val="none" w:sz="0" w:space="0" w:color="auto"/>
        <w:right w:val="none" w:sz="0" w:space="0" w:color="auto"/>
      </w:divBdr>
    </w:div>
    <w:div w:id="515772879">
      <w:bodyDiv w:val="1"/>
      <w:marLeft w:val="0"/>
      <w:marRight w:val="0"/>
      <w:marTop w:val="0"/>
      <w:marBottom w:val="0"/>
      <w:divBdr>
        <w:top w:val="none" w:sz="0" w:space="0" w:color="auto"/>
        <w:left w:val="none" w:sz="0" w:space="0" w:color="auto"/>
        <w:bottom w:val="none" w:sz="0" w:space="0" w:color="auto"/>
        <w:right w:val="none" w:sz="0" w:space="0" w:color="auto"/>
      </w:divBdr>
    </w:div>
    <w:div w:id="690498092">
      <w:bodyDiv w:val="1"/>
      <w:marLeft w:val="0"/>
      <w:marRight w:val="0"/>
      <w:marTop w:val="0"/>
      <w:marBottom w:val="0"/>
      <w:divBdr>
        <w:top w:val="none" w:sz="0" w:space="0" w:color="auto"/>
        <w:left w:val="none" w:sz="0" w:space="0" w:color="auto"/>
        <w:bottom w:val="none" w:sz="0" w:space="0" w:color="auto"/>
        <w:right w:val="none" w:sz="0" w:space="0" w:color="auto"/>
      </w:divBdr>
    </w:div>
    <w:div w:id="693920425">
      <w:bodyDiv w:val="1"/>
      <w:marLeft w:val="0"/>
      <w:marRight w:val="0"/>
      <w:marTop w:val="0"/>
      <w:marBottom w:val="0"/>
      <w:divBdr>
        <w:top w:val="none" w:sz="0" w:space="0" w:color="auto"/>
        <w:left w:val="none" w:sz="0" w:space="0" w:color="auto"/>
        <w:bottom w:val="none" w:sz="0" w:space="0" w:color="auto"/>
        <w:right w:val="none" w:sz="0" w:space="0" w:color="auto"/>
      </w:divBdr>
    </w:div>
    <w:div w:id="700204831">
      <w:bodyDiv w:val="1"/>
      <w:marLeft w:val="0"/>
      <w:marRight w:val="0"/>
      <w:marTop w:val="0"/>
      <w:marBottom w:val="0"/>
      <w:divBdr>
        <w:top w:val="none" w:sz="0" w:space="0" w:color="auto"/>
        <w:left w:val="none" w:sz="0" w:space="0" w:color="auto"/>
        <w:bottom w:val="none" w:sz="0" w:space="0" w:color="auto"/>
        <w:right w:val="none" w:sz="0" w:space="0" w:color="auto"/>
      </w:divBdr>
    </w:div>
    <w:div w:id="767972213">
      <w:bodyDiv w:val="1"/>
      <w:marLeft w:val="0"/>
      <w:marRight w:val="0"/>
      <w:marTop w:val="0"/>
      <w:marBottom w:val="0"/>
      <w:divBdr>
        <w:top w:val="none" w:sz="0" w:space="0" w:color="auto"/>
        <w:left w:val="none" w:sz="0" w:space="0" w:color="auto"/>
        <w:bottom w:val="none" w:sz="0" w:space="0" w:color="auto"/>
        <w:right w:val="none" w:sz="0" w:space="0" w:color="auto"/>
      </w:divBdr>
    </w:div>
    <w:div w:id="801266774">
      <w:bodyDiv w:val="1"/>
      <w:marLeft w:val="0"/>
      <w:marRight w:val="0"/>
      <w:marTop w:val="0"/>
      <w:marBottom w:val="0"/>
      <w:divBdr>
        <w:top w:val="none" w:sz="0" w:space="0" w:color="auto"/>
        <w:left w:val="none" w:sz="0" w:space="0" w:color="auto"/>
        <w:bottom w:val="none" w:sz="0" w:space="0" w:color="auto"/>
        <w:right w:val="none" w:sz="0" w:space="0" w:color="auto"/>
      </w:divBdr>
    </w:div>
    <w:div w:id="829056530">
      <w:bodyDiv w:val="1"/>
      <w:marLeft w:val="0"/>
      <w:marRight w:val="0"/>
      <w:marTop w:val="0"/>
      <w:marBottom w:val="0"/>
      <w:divBdr>
        <w:top w:val="none" w:sz="0" w:space="0" w:color="auto"/>
        <w:left w:val="none" w:sz="0" w:space="0" w:color="auto"/>
        <w:bottom w:val="none" w:sz="0" w:space="0" w:color="auto"/>
        <w:right w:val="none" w:sz="0" w:space="0" w:color="auto"/>
      </w:divBdr>
    </w:div>
    <w:div w:id="866332304">
      <w:bodyDiv w:val="1"/>
      <w:marLeft w:val="0"/>
      <w:marRight w:val="0"/>
      <w:marTop w:val="0"/>
      <w:marBottom w:val="0"/>
      <w:divBdr>
        <w:top w:val="none" w:sz="0" w:space="0" w:color="auto"/>
        <w:left w:val="none" w:sz="0" w:space="0" w:color="auto"/>
        <w:bottom w:val="none" w:sz="0" w:space="0" w:color="auto"/>
        <w:right w:val="none" w:sz="0" w:space="0" w:color="auto"/>
      </w:divBdr>
    </w:div>
    <w:div w:id="876088197">
      <w:bodyDiv w:val="1"/>
      <w:marLeft w:val="0"/>
      <w:marRight w:val="0"/>
      <w:marTop w:val="0"/>
      <w:marBottom w:val="0"/>
      <w:divBdr>
        <w:top w:val="none" w:sz="0" w:space="0" w:color="auto"/>
        <w:left w:val="none" w:sz="0" w:space="0" w:color="auto"/>
        <w:bottom w:val="none" w:sz="0" w:space="0" w:color="auto"/>
        <w:right w:val="none" w:sz="0" w:space="0" w:color="auto"/>
      </w:divBdr>
    </w:div>
    <w:div w:id="1040667144">
      <w:bodyDiv w:val="1"/>
      <w:marLeft w:val="0"/>
      <w:marRight w:val="0"/>
      <w:marTop w:val="0"/>
      <w:marBottom w:val="0"/>
      <w:divBdr>
        <w:top w:val="none" w:sz="0" w:space="0" w:color="auto"/>
        <w:left w:val="none" w:sz="0" w:space="0" w:color="auto"/>
        <w:bottom w:val="none" w:sz="0" w:space="0" w:color="auto"/>
        <w:right w:val="none" w:sz="0" w:space="0" w:color="auto"/>
      </w:divBdr>
    </w:div>
    <w:div w:id="1076366228">
      <w:bodyDiv w:val="1"/>
      <w:marLeft w:val="0"/>
      <w:marRight w:val="0"/>
      <w:marTop w:val="0"/>
      <w:marBottom w:val="0"/>
      <w:divBdr>
        <w:top w:val="none" w:sz="0" w:space="0" w:color="auto"/>
        <w:left w:val="none" w:sz="0" w:space="0" w:color="auto"/>
        <w:bottom w:val="none" w:sz="0" w:space="0" w:color="auto"/>
        <w:right w:val="none" w:sz="0" w:space="0" w:color="auto"/>
      </w:divBdr>
    </w:div>
    <w:div w:id="1096173850">
      <w:bodyDiv w:val="1"/>
      <w:marLeft w:val="0"/>
      <w:marRight w:val="0"/>
      <w:marTop w:val="0"/>
      <w:marBottom w:val="0"/>
      <w:divBdr>
        <w:top w:val="none" w:sz="0" w:space="0" w:color="auto"/>
        <w:left w:val="none" w:sz="0" w:space="0" w:color="auto"/>
        <w:bottom w:val="none" w:sz="0" w:space="0" w:color="auto"/>
        <w:right w:val="none" w:sz="0" w:space="0" w:color="auto"/>
      </w:divBdr>
    </w:div>
    <w:div w:id="1308432424">
      <w:bodyDiv w:val="1"/>
      <w:marLeft w:val="0"/>
      <w:marRight w:val="0"/>
      <w:marTop w:val="0"/>
      <w:marBottom w:val="0"/>
      <w:divBdr>
        <w:top w:val="none" w:sz="0" w:space="0" w:color="auto"/>
        <w:left w:val="none" w:sz="0" w:space="0" w:color="auto"/>
        <w:bottom w:val="none" w:sz="0" w:space="0" w:color="auto"/>
        <w:right w:val="none" w:sz="0" w:space="0" w:color="auto"/>
      </w:divBdr>
    </w:div>
    <w:div w:id="1328362750">
      <w:bodyDiv w:val="1"/>
      <w:marLeft w:val="0"/>
      <w:marRight w:val="0"/>
      <w:marTop w:val="0"/>
      <w:marBottom w:val="0"/>
      <w:divBdr>
        <w:top w:val="none" w:sz="0" w:space="0" w:color="auto"/>
        <w:left w:val="none" w:sz="0" w:space="0" w:color="auto"/>
        <w:bottom w:val="none" w:sz="0" w:space="0" w:color="auto"/>
        <w:right w:val="none" w:sz="0" w:space="0" w:color="auto"/>
      </w:divBdr>
    </w:div>
    <w:div w:id="1340158432">
      <w:bodyDiv w:val="1"/>
      <w:marLeft w:val="0"/>
      <w:marRight w:val="0"/>
      <w:marTop w:val="0"/>
      <w:marBottom w:val="0"/>
      <w:divBdr>
        <w:top w:val="none" w:sz="0" w:space="0" w:color="auto"/>
        <w:left w:val="none" w:sz="0" w:space="0" w:color="auto"/>
        <w:bottom w:val="none" w:sz="0" w:space="0" w:color="auto"/>
        <w:right w:val="none" w:sz="0" w:space="0" w:color="auto"/>
      </w:divBdr>
    </w:div>
    <w:div w:id="1489513538">
      <w:bodyDiv w:val="1"/>
      <w:marLeft w:val="0"/>
      <w:marRight w:val="0"/>
      <w:marTop w:val="0"/>
      <w:marBottom w:val="0"/>
      <w:divBdr>
        <w:top w:val="none" w:sz="0" w:space="0" w:color="auto"/>
        <w:left w:val="none" w:sz="0" w:space="0" w:color="auto"/>
        <w:bottom w:val="none" w:sz="0" w:space="0" w:color="auto"/>
        <w:right w:val="none" w:sz="0" w:space="0" w:color="auto"/>
      </w:divBdr>
    </w:div>
    <w:div w:id="1567688979">
      <w:bodyDiv w:val="1"/>
      <w:marLeft w:val="0"/>
      <w:marRight w:val="0"/>
      <w:marTop w:val="0"/>
      <w:marBottom w:val="0"/>
      <w:divBdr>
        <w:top w:val="none" w:sz="0" w:space="0" w:color="auto"/>
        <w:left w:val="none" w:sz="0" w:space="0" w:color="auto"/>
        <w:bottom w:val="none" w:sz="0" w:space="0" w:color="auto"/>
        <w:right w:val="none" w:sz="0" w:space="0" w:color="auto"/>
      </w:divBdr>
    </w:div>
    <w:div w:id="1596668643">
      <w:bodyDiv w:val="1"/>
      <w:marLeft w:val="0"/>
      <w:marRight w:val="0"/>
      <w:marTop w:val="0"/>
      <w:marBottom w:val="0"/>
      <w:divBdr>
        <w:top w:val="none" w:sz="0" w:space="0" w:color="auto"/>
        <w:left w:val="none" w:sz="0" w:space="0" w:color="auto"/>
        <w:bottom w:val="none" w:sz="0" w:space="0" w:color="auto"/>
        <w:right w:val="none" w:sz="0" w:space="0" w:color="auto"/>
      </w:divBdr>
    </w:div>
    <w:div w:id="1603756490">
      <w:bodyDiv w:val="1"/>
      <w:marLeft w:val="0"/>
      <w:marRight w:val="0"/>
      <w:marTop w:val="0"/>
      <w:marBottom w:val="0"/>
      <w:divBdr>
        <w:top w:val="none" w:sz="0" w:space="0" w:color="auto"/>
        <w:left w:val="none" w:sz="0" w:space="0" w:color="auto"/>
        <w:bottom w:val="none" w:sz="0" w:space="0" w:color="auto"/>
        <w:right w:val="none" w:sz="0" w:space="0" w:color="auto"/>
      </w:divBdr>
    </w:div>
    <w:div w:id="1612854725">
      <w:bodyDiv w:val="1"/>
      <w:marLeft w:val="0"/>
      <w:marRight w:val="0"/>
      <w:marTop w:val="0"/>
      <w:marBottom w:val="0"/>
      <w:divBdr>
        <w:top w:val="none" w:sz="0" w:space="0" w:color="auto"/>
        <w:left w:val="none" w:sz="0" w:space="0" w:color="auto"/>
        <w:bottom w:val="none" w:sz="0" w:space="0" w:color="auto"/>
        <w:right w:val="none" w:sz="0" w:space="0" w:color="auto"/>
      </w:divBdr>
    </w:div>
    <w:div w:id="1617369844">
      <w:bodyDiv w:val="1"/>
      <w:marLeft w:val="0"/>
      <w:marRight w:val="0"/>
      <w:marTop w:val="0"/>
      <w:marBottom w:val="0"/>
      <w:divBdr>
        <w:top w:val="none" w:sz="0" w:space="0" w:color="auto"/>
        <w:left w:val="none" w:sz="0" w:space="0" w:color="auto"/>
        <w:bottom w:val="none" w:sz="0" w:space="0" w:color="auto"/>
        <w:right w:val="none" w:sz="0" w:space="0" w:color="auto"/>
      </w:divBdr>
    </w:div>
    <w:div w:id="1840583123">
      <w:bodyDiv w:val="1"/>
      <w:marLeft w:val="0"/>
      <w:marRight w:val="0"/>
      <w:marTop w:val="0"/>
      <w:marBottom w:val="0"/>
      <w:divBdr>
        <w:top w:val="none" w:sz="0" w:space="0" w:color="auto"/>
        <w:left w:val="none" w:sz="0" w:space="0" w:color="auto"/>
        <w:bottom w:val="none" w:sz="0" w:space="0" w:color="auto"/>
        <w:right w:val="none" w:sz="0" w:space="0" w:color="auto"/>
      </w:divBdr>
    </w:div>
    <w:div w:id="1867014731">
      <w:bodyDiv w:val="1"/>
      <w:marLeft w:val="0"/>
      <w:marRight w:val="0"/>
      <w:marTop w:val="0"/>
      <w:marBottom w:val="0"/>
      <w:divBdr>
        <w:top w:val="none" w:sz="0" w:space="0" w:color="auto"/>
        <w:left w:val="none" w:sz="0" w:space="0" w:color="auto"/>
        <w:bottom w:val="none" w:sz="0" w:space="0" w:color="auto"/>
        <w:right w:val="none" w:sz="0" w:space="0" w:color="auto"/>
      </w:divBdr>
    </w:div>
    <w:div w:id="1895004026">
      <w:bodyDiv w:val="1"/>
      <w:marLeft w:val="0"/>
      <w:marRight w:val="0"/>
      <w:marTop w:val="0"/>
      <w:marBottom w:val="0"/>
      <w:divBdr>
        <w:top w:val="none" w:sz="0" w:space="0" w:color="auto"/>
        <w:left w:val="none" w:sz="0" w:space="0" w:color="auto"/>
        <w:bottom w:val="none" w:sz="0" w:space="0" w:color="auto"/>
        <w:right w:val="none" w:sz="0" w:space="0" w:color="auto"/>
      </w:divBdr>
    </w:div>
    <w:div w:id="1960988630">
      <w:bodyDiv w:val="1"/>
      <w:marLeft w:val="0"/>
      <w:marRight w:val="0"/>
      <w:marTop w:val="0"/>
      <w:marBottom w:val="0"/>
      <w:divBdr>
        <w:top w:val="none" w:sz="0" w:space="0" w:color="auto"/>
        <w:left w:val="none" w:sz="0" w:space="0" w:color="auto"/>
        <w:bottom w:val="none" w:sz="0" w:space="0" w:color="auto"/>
        <w:right w:val="none" w:sz="0" w:space="0" w:color="auto"/>
      </w:divBdr>
    </w:div>
    <w:div w:id="1970041047">
      <w:bodyDiv w:val="1"/>
      <w:marLeft w:val="0"/>
      <w:marRight w:val="0"/>
      <w:marTop w:val="0"/>
      <w:marBottom w:val="0"/>
      <w:divBdr>
        <w:top w:val="none" w:sz="0" w:space="0" w:color="auto"/>
        <w:left w:val="none" w:sz="0" w:space="0" w:color="auto"/>
        <w:bottom w:val="none" w:sz="0" w:space="0" w:color="auto"/>
        <w:right w:val="none" w:sz="0" w:space="0" w:color="auto"/>
      </w:divBdr>
    </w:div>
    <w:div w:id="19914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ask-the-analyst/rep-gb-5327" TargetMode="External"/><Relationship Id="rId13" Type="http://schemas.openxmlformats.org/officeDocument/2006/relationships/hyperlink" Target="https://www.futuremarketinsights.com/reports/outsourced-testing-services-market" TargetMode="External"/><Relationship Id="rId18" Type="http://schemas.openxmlformats.org/officeDocument/2006/relationships/hyperlink" Target="https://www.futuremarketinsights.com/reports/surgical-sutures-market" TargetMode="External"/><Relationship Id="rId26" Type="http://schemas.openxmlformats.org/officeDocument/2006/relationships/hyperlink" Target="https://www.futuremarketinsights.com/blogs" TargetMode="External"/><Relationship Id="rId3" Type="http://schemas.openxmlformats.org/officeDocument/2006/relationships/settings" Target="settings.xml"/><Relationship Id="rId21" Type="http://schemas.openxmlformats.org/officeDocument/2006/relationships/hyperlink" Target="https://www.futuremarketinsights.com/" TargetMode="External"/><Relationship Id="rId7" Type="http://schemas.openxmlformats.org/officeDocument/2006/relationships/hyperlink" Target="https://www.futuremarketinsights.com/reports/vascular-access-catheters-market" TargetMode="External"/><Relationship Id="rId12" Type="http://schemas.openxmlformats.org/officeDocument/2006/relationships/hyperlink" Target="https://www.futuremarketinsights.com/reports/dental-fluoride-varnish-market" TargetMode="External"/><Relationship Id="rId17" Type="http://schemas.openxmlformats.org/officeDocument/2006/relationships/hyperlink" Target="https://www.futuremarketinsights.com/reports/ambulatory-polysomnography-psg-systems-market" TargetMode="External"/><Relationship Id="rId25" Type="http://schemas.openxmlformats.org/officeDocument/2006/relationships/hyperlink" Target="https://twitter.com/FMI_Research" TargetMode="External"/><Relationship Id="rId2" Type="http://schemas.openxmlformats.org/officeDocument/2006/relationships/styles" Target="styles.xml"/><Relationship Id="rId16" Type="http://schemas.openxmlformats.org/officeDocument/2006/relationships/hyperlink" Target="https://www.futuremarketinsights.com/reports/anti-adhesion-barrier-gels-market" TargetMode="External"/><Relationship Id="rId20" Type="http://schemas.openxmlformats.org/officeDocument/2006/relationships/hyperlink" Target="https://www.futuremarketinsights.com/reports/palliative-care-market" TargetMode="External"/><Relationship Id="rId1" Type="http://schemas.openxmlformats.org/officeDocument/2006/relationships/numbering" Target="numbering.xml"/><Relationship Id="rId6" Type="http://schemas.openxmlformats.org/officeDocument/2006/relationships/hyperlink" Target="https://www.futuremarketinsights.com/reports/sample/rep-gb-5327" TargetMode="External"/><Relationship Id="rId11" Type="http://schemas.openxmlformats.org/officeDocument/2006/relationships/hyperlink" Target="https://www.futuremarketinsights.com/reports/exonucleases-market" TargetMode="External"/><Relationship Id="rId24" Type="http://schemas.openxmlformats.org/officeDocument/2006/relationships/hyperlink" Target="https://www.linkedin.com/company/future-market-insights/" TargetMode="External"/><Relationship Id="rId5" Type="http://schemas.openxmlformats.org/officeDocument/2006/relationships/hyperlink" Target="https://www.futuremarketinsights.com/reports/vascular-access-catheters-market" TargetMode="External"/><Relationship Id="rId15" Type="http://schemas.openxmlformats.org/officeDocument/2006/relationships/hyperlink" Target="https://www.futuremarketinsights.com/reports/electric-handpiece-market" TargetMode="External"/><Relationship Id="rId23" Type="http://schemas.openxmlformats.org/officeDocument/2006/relationships/hyperlink" Target="https://www.futuremarketinsights.com/reports" TargetMode="External"/><Relationship Id="rId28" Type="http://schemas.openxmlformats.org/officeDocument/2006/relationships/theme" Target="theme/theme1.xml"/><Relationship Id="rId10" Type="http://schemas.openxmlformats.org/officeDocument/2006/relationships/hyperlink" Target="https://www.futuremarketinsights.com/category/healthcare" TargetMode="External"/><Relationship Id="rId19" Type="http://schemas.openxmlformats.org/officeDocument/2006/relationships/hyperlink" Target="https://www.futuremarketinsights.com/reports/clot-busting-drugs-market" TargetMode="External"/><Relationship Id="rId4" Type="http://schemas.openxmlformats.org/officeDocument/2006/relationships/webSettings" Target="webSettings.xml"/><Relationship Id="rId9" Type="http://schemas.openxmlformats.org/officeDocument/2006/relationships/hyperlink" Target="https://www.futuremarketinsights.com/toc/rep-gb-5327" TargetMode="External"/><Relationship Id="rId14" Type="http://schemas.openxmlformats.org/officeDocument/2006/relationships/hyperlink" Target="https://www.futuremarketinsights.com/reports/diagnostic-x-ray-system-market" TargetMode="External"/><Relationship Id="rId22" Type="http://schemas.openxmlformats.org/officeDocument/2006/relationships/hyperlink" Target="mailto:sales@futuremarketinsight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Pulkit Talwar</dc:creator>
  <cp:keywords/>
  <dc:description/>
  <cp:lastModifiedBy>Ganesh Shinde</cp:lastModifiedBy>
  <cp:revision>4</cp:revision>
  <dcterms:created xsi:type="dcterms:W3CDTF">2022-11-28T03:40:00Z</dcterms:created>
  <dcterms:modified xsi:type="dcterms:W3CDTF">2022-12-06T22:43:00Z</dcterms:modified>
</cp:coreProperties>
</file>