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271D8" w14:textId="77777777" w:rsidR="002D6C38" w:rsidRDefault="00DF43E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color w:val="000000"/>
        </w:rPr>
      </w:pPr>
      <w:bookmarkStart w:id="0" w:name="_Hlk84948486"/>
      <w:r>
        <w:rPr>
          <w:rFonts w:ascii="Calibri" w:eastAsia="Calibri" w:hAnsi="Calibri" w:cs="Calibri"/>
          <w:b/>
          <w:color w:val="000000"/>
        </w:rPr>
        <w:t>FOR IMMEDIATE DISTRIBUTION</w:t>
      </w:r>
    </w:p>
    <w:p w14:paraId="4F0660BB" w14:textId="77777777" w:rsidR="002D6C38" w:rsidRDefault="00DF43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MEDIA RELEASE</w:t>
      </w:r>
    </w:p>
    <w:p w14:paraId="42B9CA1D" w14:textId="041F8A78" w:rsidR="002D6C38" w:rsidRDefault="00DF43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>We</w:t>
      </w:r>
      <w:r w:rsidR="00687FED">
        <w:rPr>
          <w:rFonts w:ascii="Calibri" w:eastAsia="Calibri" w:hAnsi="Calibri" w:cs="Calibri"/>
          <w:b/>
        </w:rPr>
        <w:t>dnesday</w:t>
      </w:r>
      <w:r>
        <w:rPr>
          <w:rFonts w:ascii="Calibri" w:eastAsia="Calibri" w:hAnsi="Calibri" w:cs="Calibri"/>
          <w:b/>
          <w:color w:val="000000"/>
        </w:rPr>
        <w:t xml:space="preserve">, </w:t>
      </w:r>
      <w:r w:rsidR="00687FED">
        <w:rPr>
          <w:rFonts w:ascii="Calibri" w:eastAsia="Calibri" w:hAnsi="Calibri" w:cs="Calibri"/>
          <w:b/>
        </w:rPr>
        <w:t>13</w:t>
      </w:r>
      <w:r w:rsidR="00687FED" w:rsidRPr="00687FED">
        <w:rPr>
          <w:rFonts w:ascii="Calibri" w:eastAsia="Calibri" w:hAnsi="Calibri" w:cs="Calibri"/>
          <w:b/>
          <w:vertAlign w:val="superscript"/>
        </w:rPr>
        <w:t>th</w:t>
      </w:r>
      <w:r>
        <w:rPr>
          <w:rFonts w:ascii="Calibri" w:eastAsia="Calibri" w:hAnsi="Calibri" w:cs="Calibri"/>
          <w:b/>
          <w:color w:val="000000"/>
        </w:rPr>
        <w:t xml:space="preserve"> October 2021</w:t>
      </w:r>
    </w:p>
    <w:p w14:paraId="6C8B8EC1" w14:textId="77777777" w:rsidR="002D6C38" w:rsidRDefault="002D6C3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14:paraId="40F0623F" w14:textId="5575A02F" w:rsidR="002D6C38" w:rsidRDefault="00DF43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</w:rPr>
        <w:t xml:space="preserve">HEADLINE: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ABA Legal Group grows Bioscience Unit </w:t>
      </w:r>
      <w:r w:rsidR="00EF0EE2">
        <w:rPr>
          <w:rFonts w:ascii="Calibri" w:eastAsia="Calibri" w:hAnsi="Calibri" w:cs="Calibri"/>
          <w:color w:val="000000"/>
          <w:sz w:val="22"/>
          <w:szCs w:val="22"/>
        </w:rPr>
        <w:t xml:space="preserve">as momentum gathers in Australia’s </w:t>
      </w:r>
      <w:proofErr w:type="spellStart"/>
      <w:r w:rsidR="00EF0EE2">
        <w:rPr>
          <w:rFonts w:ascii="Calibri" w:eastAsia="Calibri" w:hAnsi="Calibri" w:cs="Calibri"/>
          <w:color w:val="000000"/>
          <w:sz w:val="22"/>
          <w:szCs w:val="22"/>
        </w:rPr>
        <w:t>Healthtech</w:t>
      </w:r>
      <w:proofErr w:type="spellEnd"/>
      <w:r w:rsidR="00EF0EE2">
        <w:rPr>
          <w:rFonts w:ascii="Calibri" w:eastAsia="Calibri" w:hAnsi="Calibri" w:cs="Calibri"/>
          <w:color w:val="000000"/>
          <w:sz w:val="22"/>
          <w:szCs w:val="22"/>
        </w:rPr>
        <w:t xml:space="preserve"> sector</w:t>
      </w:r>
    </w:p>
    <w:p w14:paraId="60F5E686" w14:textId="77777777" w:rsidR="002D6C38" w:rsidRDefault="002D6C3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54998223" w14:textId="6490ED52" w:rsidR="002D6C38" w:rsidRDefault="00DF43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ABA Legal Group is seeing significant growth in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it’s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Bioscience Unit as it plans to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capitalise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on renewed government and investor focus </w:t>
      </w:r>
      <w:r w:rsidR="00EF0EE2">
        <w:rPr>
          <w:rFonts w:ascii="Calibri" w:eastAsia="Calibri" w:hAnsi="Calibri" w:cs="Calibri"/>
          <w:color w:val="000000"/>
          <w:sz w:val="22"/>
          <w:szCs w:val="22"/>
        </w:rPr>
        <w:t>on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Australia’s local life science and biotechnology industries.</w:t>
      </w:r>
    </w:p>
    <w:p w14:paraId="2022624B" w14:textId="77777777" w:rsidR="002D6C38" w:rsidRDefault="002D6C3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62218819" w14:textId="77777777" w:rsidR="002D6C38" w:rsidRDefault="00DF43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Driven by the impact of COVID19 this change in national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policy settings is best exemplified by the launch of the AUD $20 billion </w:t>
      </w:r>
      <w:hyperlink r:id="rId7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Medical Research Future Fund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to support Australian health and medical research.</w:t>
      </w:r>
    </w:p>
    <w:p w14:paraId="3B6F1168" w14:textId="77777777" w:rsidR="002D6C38" w:rsidRDefault="002D6C3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2EFB92F5" w14:textId="77777777" w:rsidR="002D6C38" w:rsidRDefault="00DF43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itiatives like this coupled with the country’s Research and Development Tax Incentive program, are creating 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favourable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environment for global biotechnology firms to establish operations within Australian jurisdictions. </w:t>
      </w:r>
    </w:p>
    <w:p w14:paraId="0441821F" w14:textId="77777777" w:rsidR="002D6C38" w:rsidRDefault="002D6C3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60298CD1" w14:textId="77777777" w:rsidR="002D6C38" w:rsidRDefault="00DF43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According to ABA Legal Group Foun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der and Director Andrew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Antonopolous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the continued growth of ABA Bioscience Consulting is to prepare for what he sees as a decade of growth in the healthcare and medical research start-up space. </w:t>
      </w:r>
    </w:p>
    <w:p w14:paraId="350C188D" w14:textId="77777777" w:rsidR="002D6C38" w:rsidRDefault="002D6C3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2C169EE8" w14:textId="77777777" w:rsidR="002D6C38" w:rsidRDefault="00DF43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“It is my firm belief that there is an opportunity right 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ow for Australia to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capitalise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on its strengths in medical research, talent, intellectual property protections, policy settings, and government investment to establish itself as a global leader in the biotechnology field,” said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Antonopolous</w:t>
      </w:r>
      <w:proofErr w:type="spellEnd"/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.  </w:t>
      </w:r>
      <w:proofErr w:type="gramEnd"/>
    </w:p>
    <w:p w14:paraId="7ADB0145" w14:textId="77777777" w:rsidR="002D6C38" w:rsidRDefault="002D6C3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3ECCAFD9" w14:textId="77777777" w:rsidR="002D6C38" w:rsidRDefault="00DF43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“These f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actors are working in our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favour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when it comes to growing our Bioscience unit where we support businesses looking to establish a presence within the Australian market through our end-to-end advisory offering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.  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This sector has the potential to completely tr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ansform the Australian economy and we see our Bioscience unit as a strategic partner for boutique research providers looking for a more tailored approach when looking for local partners.” </w:t>
      </w:r>
    </w:p>
    <w:p w14:paraId="4D82F45E" w14:textId="77777777" w:rsidR="002D6C38" w:rsidRDefault="002D6C3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33E5A080" w14:textId="77777777" w:rsidR="002D6C38" w:rsidRDefault="00DF43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ABA Bioscience Consulting focuses on providing businesses, researc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hers, and innovators the ability to plan and establish their presence in Australia. Its industry focus is on Australia’s Biotechnology,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Medtech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BioPharmaceutical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Life Sciences and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AgTech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industries.</w:t>
      </w:r>
    </w:p>
    <w:p w14:paraId="0B4B2CFD" w14:textId="77777777" w:rsidR="002D6C38" w:rsidRDefault="002D6C3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5E099B42" w14:textId="77777777" w:rsidR="002D6C38" w:rsidRDefault="00DF43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It works closely with its clients to educate them about commercial opportunities Australia has to offer. </w:t>
      </w:r>
    </w:p>
    <w:p w14:paraId="31961968" w14:textId="77777777" w:rsidR="002D6C38" w:rsidRDefault="002D6C3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665969DE" w14:textId="77777777" w:rsidR="002D6C38" w:rsidRDefault="00DF43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This assistance comes in form of planning, company establishment, operations, corporate governance, corporate advisory, tax planning, and legal advi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ce. It also works with its clients to identify the right Clinical Partners and have adequate support for the future success and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commercialisation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of their treatments and therapies. </w:t>
      </w:r>
    </w:p>
    <w:p w14:paraId="0F3F679B" w14:textId="77777777" w:rsidR="002D6C38" w:rsidRDefault="002D6C3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E7665C0" w14:textId="77777777" w:rsidR="002D6C38" w:rsidRDefault="00DF43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It will ensure that companies moving to a new jurisdiction are covered ac</w:t>
      </w:r>
      <w:r>
        <w:rPr>
          <w:rFonts w:ascii="Calibri" w:eastAsia="Calibri" w:hAnsi="Calibri" w:cs="Calibri"/>
          <w:color w:val="000000"/>
          <w:sz w:val="22"/>
          <w:szCs w:val="22"/>
        </w:rPr>
        <w:t>ross all areas of corporate tax, legal, R&amp;D Tax Incentives, governance, and compliance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.  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At the same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time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It will also assist with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operational and administrative requirements so that businesses can take advantage and leverage the expedited Australian resea</w:t>
      </w:r>
      <w:r>
        <w:rPr>
          <w:rFonts w:ascii="Calibri" w:eastAsia="Calibri" w:hAnsi="Calibri" w:cs="Calibri"/>
          <w:color w:val="000000"/>
          <w:sz w:val="22"/>
          <w:szCs w:val="22"/>
        </w:rPr>
        <w:t>rch environment.</w:t>
      </w:r>
    </w:p>
    <w:p w14:paraId="6F2A3251" w14:textId="77777777" w:rsidR="002D6C38" w:rsidRDefault="002D6C3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0D936C6" w14:textId="77777777" w:rsidR="002D6C38" w:rsidRDefault="002D6C3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681732C1" w14:textId="77777777" w:rsidR="002D6C38" w:rsidRDefault="00DF43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According to Andrew, the opportunity is now for Australia to kickstart its Biotechnology and health science sector as the move to disease prevention rather than treatment gathers pace.</w:t>
      </w:r>
    </w:p>
    <w:p w14:paraId="5D02F45F" w14:textId="77777777" w:rsidR="002D6C38" w:rsidRDefault="002D6C3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5565CDAE" w14:textId="77777777" w:rsidR="002D6C38" w:rsidRDefault="00DF43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“We are at the cusp of a revolution in healthcare as we move to prevention rather than cure as we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utilise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the latest technology and genetic treatments,” Andrew said. </w:t>
      </w:r>
    </w:p>
    <w:p w14:paraId="3D907F00" w14:textId="77777777" w:rsidR="002D6C38" w:rsidRDefault="002D6C3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6B650754" w14:textId="77777777" w:rsidR="002D6C38" w:rsidRDefault="00DF43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“It is exciting to see government and venture capital support for this sector because if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this industry is harnessed correctly, the size and scale of these businesses will overshadow many other sectors of the Australian economy. I look forward to working with our partners in Queensland like the Cohort Innovation Space at the Gold Coast Health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and Knowledge Precinct and across the country as we seek to nurture and grow this sector.” </w:t>
      </w:r>
    </w:p>
    <w:p w14:paraId="1DD703AD" w14:textId="77777777" w:rsidR="002D6C38" w:rsidRDefault="002D6C3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5CB4B586" w14:textId="77777777" w:rsidR="002D6C38" w:rsidRDefault="00DF43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About ABA Bioscience: </w:t>
      </w:r>
    </w:p>
    <w:p w14:paraId="1BA4BFEE" w14:textId="77777777" w:rsidR="002D6C38" w:rsidRDefault="002D6C3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1A63D6AB" w14:textId="77777777" w:rsidR="002D6C38" w:rsidRDefault="00DF43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At ABA Bioscience Consulting, we help businesses, researchers, and innovators to plan and establish their presence in Australia to conduct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research and clinical trial activities in the Australian Biotechnology,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Medtech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BioPharmaceutical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Life Sciences, and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AgTech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industries.</w:t>
      </w:r>
    </w:p>
    <w:p w14:paraId="032F235C" w14:textId="77777777" w:rsidR="002D6C38" w:rsidRDefault="002D6C3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26C2D9B" w14:textId="77777777" w:rsidR="002D6C38" w:rsidRDefault="00DF43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Through delivering corporate advisory and business strategy solutions, we are your trusted Virtual Australian Team, e</w:t>
      </w:r>
      <w:r>
        <w:rPr>
          <w:rFonts w:ascii="Calibri" w:eastAsia="Calibri" w:hAnsi="Calibri" w:cs="Calibri"/>
          <w:color w:val="000000"/>
          <w:sz w:val="22"/>
          <w:szCs w:val="22"/>
        </w:rPr>
        <w:t>nsuring you are covered across all areas of corporate tax, legal, R&amp;D Tax Incentives, governance &amp; compliance. We also assist with operational and administrative requirements, so you can focus on what matters most… the science. We partner with you to guide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assist your business to take advantage and leverage the expedited Australian research environment. </w:t>
      </w:r>
    </w:p>
    <w:p w14:paraId="4B1E5B18" w14:textId="77777777" w:rsidR="002D6C38" w:rsidRDefault="002D6C3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669972A5" w14:textId="77777777" w:rsidR="002D6C38" w:rsidRDefault="00DF43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To learn more, visit www.ababioscience.com.au</w:t>
      </w:r>
    </w:p>
    <w:p w14:paraId="27D0165C" w14:textId="77777777" w:rsidR="002D6C38" w:rsidRDefault="002D6C3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74F688E8" w14:textId="77777777" w:rsidR="002D6C38" w:rsidRDefault="00DF43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For all media enquiries, images, or interviews please contact ABA Legal Group, </w:t>
      </w:r>
    </w:p>
    <w:p w14:paraId="30EF230B" w14:textId="77777777" w:rsidR="002D6C38" w:rsidRDefault="00DF43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CMO Shane Graham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shan</w:t>
      </w:r>
      <w:r>
        <w:rPr>
          <w:rFonts w:ascii="Calibri" w:eastAsia="Calibri" w:hAnsi="Calibri" w:cs="Calibri"/>
          <w:color w:val="000000"/>
          <w:sz w:val="22"/>
          <w:szCs w:val="22"/>
        </w:rPr>
        <w:t>e@abalegalgroup.com.au/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+ 61 435 758 361 </w:t>
      </w:r>
    </w:p>
    <w:p w14:paraId="61203316" w14:textId="77777777" w:rsidR="002D6C38" w:rsidRDefault="002D6C3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B54C7E2" w14:textId="77777777" w:rsidR="002D6C38" w:rsidRDefault="002D6C3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14:paraId="6E84EA5D" w14:textId="77777777" w:rsidR="002D6C38" w:rsidRDefault="00DF43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ENDS </w:t>
      </w:r>
      <w:bookmarkEnd w:id="0"/>
    </w:p>
    <w:sectPr w:rsidR="002D6C38">
      <w:headerReference w:type="default" r:id="rId8"/>
      <w:footerReference w:type="default" r:id="rId9"/>
      <w:pgSz w:w="11900" w:h="16840"/>
      <w:pgMar w:top="2364" w:right="1440" w:bottom="1632" w:left="1440" w:header="708" w:footer="4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DBC6B" w14:textId="77777777" w:rsidR="00DF43E5" w:rsidRDefault="00DF43E5">
      <w:r>
        <w:separator/>
      </w:r>
    </w:p>
  </w:endnote>
  <w:endnote w:type="continuationSeparator" w:id="0">
    <w:p w14:paraId="090E9E68" w14:textId="77777777" w:rsidR="00DF43E5" w:rsidRDefault="00DF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A588D" w14:textId="77777777" w:rsidR="002D6C38" w:rsidRDefault="00DF43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000"/>
      </w:tabs>
      <w:jc w:val="center"/>
      <w:rPr>
        <w:rFonts w:ascii="Calibri" w:eastAsia="Calibri" w:hAnsi="Calibri" w:cs="Calibri"/>
        <w:color w:val="000000"/>
      </w:rPr>
    </w:pPr>
    <w:r>
      <w:rPr>
        <w:rFonts w:ascii="Nunito Sans" w:eastAsia="Nunito Sans" w:hAnsi="Nunito Sans" w:cs="Nunito Sans"/>
        <w:color w:val="BFBFBF"/>
        <w:sz w:val="14"/>
        <w:szCs w:val="14"/>
      </w:rPr>
      <w:fldChar w:fldCharType="begin"/>
    </w:r>
    <w:r>
      <w:rPr>
        <w:rFonts w:ascii="Nunito Sans" w:eastAsia="Nunito Sans" w:hAnsi="Nunito Sans" w:cs="Nunito Sans"/>
        <w:color w:val="BFBFBF"/>
        <w:sz w:val="14"/>
        <w:szCs w:val="14"/>
      </w:rPr>
      <w:instrText>PAGE</w:instrText>
    </w:r>
    <w:r>
      <w:rPr>
        <w:rFonts w:ascii="Nunito Sans" w:eastAsia="Nunito Sans" w:hAnsi="Nunito Sans" w:cs="Nunito Sans"/>
        <w:color w:val="BFBFBF"/>
        <w:sz w:val="14"/>
        <w:szCs w:val="14"/>
      </w:rPr>
      <w:fldChar w:fldCharType="separate"/>
    </w:r>
    <w:r w:rsidR="00687FED">
      <w:rPr>
        <w:rFonts w:ascii="Nunito Sans" w:eastAsia="Nunito Sans" w:hAnsi="Nunito Sans" w:cs="Nunito Sans"/>
        <w:noProof/>
        <w:color w:val="BFBFBF"/>
        <w:sz w:val="14"/>
        <w:szCs w:val="14"/>
      </w:rPr>
      <w:t>1</w:t>
    </w:r>
    <w:r>
      <w:rPr>
        <w:rFonts w:ascii="Nunito Sans" w:eastAsia="Nunito Sans" w:hAnsi="Nunito Sans" w:cs="Nunito Sans"/>
        <w:color w:val="BFBFBF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87625" w14:textId="77777777" w:rsidR="00DF43E5" w:rsidRDefault="00DF43E5">
      <w:r>
        <w:separator/>
      </w:r>
    </w:p>
  </w:footnote>
  <w:footnote w:type="continuationSeparator" w:id="0">
    <w:p w14:paraId="5CC91A54" w14:textId="77777777" w:rsidR="00DF43E5" w:rsidRDefault="00DF4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3D67" w14:textId="77777777" w:rsidR="002D6C38" w:rsidRDefault="00DF43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000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8240" behindDoc="1" locked="0" layoutInCell="1" hidden="0" allowOverlap="1" wp14:anchorId="0992FA3A" wp14:editId="66963558">
          <wp:simplePos x="0" y="0"/>
          <wp:positionH relativeFrom="page">
            <wp:posOffset>6</wp:posOffset>
          </wp:positionH>
          <wp:positionV relativeFrom="page">
            <wp:posOffset>-180968</wp:posOffset>
          </wp:positionV>
          <wp:extent cx="10706100" cy="287959"/>
          <wp:effectExtent l="0" t="0" r="0" b="0"/>
          <wp:wrapNone/>
          <wp:docPr id="1073741828" name="image1.jpg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06100" cy="2879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9264" behindDoc="1" locked="0" layoutInCell="1" hidden="0" allowOverlap="1" wp14:anchorId="2B896C9A" wp14:editId="52181E8B">
          <wp:simplePos x="0" y="0"/>
          <wp:positionH relativeFrom="page">
            <wp:posOffset>5686425</wp:posOffset>
          </wp:positionH>
          <wp:positionV relativeFrom="page">
            <wp:posOffset>477519</wp:posOffset>
          </wp:positionV>
          <wp:extent cx="1591311" cy="582295"/>
          <wp:effectExtent l="0" t="0" r="0" b="0"/>
          <wp:wrapNone/>
          <wp:docPr id="1073741830" name="image3.jpg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A close up of a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1311" cy="5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60288" behindDoc="1" locked="0" layoutInCell="1" hidden="0" allowOverlap="1" wp14:anchorId="0258A918" wp14:editId="1E5BB518">
          <wp:simplePos x="0" y="0"/>
          <wp:positionH relativeFrom="page">
            <wp:posOffset>6545598</wp:posOffset>
          </wp:positionH>
          <wp:positionV relativeFrom="page">
            <wp:posOffset>9342014</wp:posOffset>
          </wp:positionV>
          <wp:extent cx="1034802" cy="1302870"/>
          <wp:effectExtent l="0" t="0" r="0" b="0"/>
          <wp:wrapNone/>
          <wp:docPr id="1073741829" name="image2.jp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drawing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4802" cy="1302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38"/>
    <w:rsid w:val="002D6C38"/>
    <w:rsid w:val="00687FED"/>
    <w:rsid w:val="00DF43E5"/>
    <w:rsid w:val="00E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03072"/>
  <w15:docId w15:val="{B71EF331-F904-4369-9612-E6F21CA2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Calibri" w:eastAsia="Arial Unicode MS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1155CC"/>
      <w:sz w:val="22"/>
      <w:szCs w:val="22"/>
      <w:u w:val="single" w:color="1155CC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F0E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EE2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0E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EE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ealth.gov.au/initiatives-and-programs/medical-research-future-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EI8gZHkaICY2g6eGIpy4U6u8SA==">AMUW2mV8/L0FcDb/xCfYxfoQzSw6k0ycdMaIge+WH+tOQC1fZRsWFd8zk4cMOptQ+XYI5K3ra/fAz6TSb4uSn+h6SVBFQGUAYyDMCp15entM9MPb2Crql78=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Sean Braybrook</cp:lastModifiedBy>
  <cp:revision>3</cp:revision>
  <dcterms:created xsi:type="dcterms:W3CDTF">2021-10-12T06:22:00Z</dcterms:created>
  <dcterms:modified xsi:type="dcterms:W3CDTF">2021-10-12T06:30:00Z</dcterms:modified>
</cp:coreProperties>
</file>